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2B" w:rsidRDefault="004531FD" w:rsidP="00384394">
      <w:pPr>
        <w:spacing w:after="0"/>
        <w:jc w:val="center"/>
      </w:pPr>
      <w:r>
        <w:rPr>
          <w:noProof/>
          <w:lang w:eastAsia="lv-LV"/>
        </w:rPr>
        <w:drawing>
          <wp:inline distT="0" distB="0" distL="0" distR="0" wp14:anchorId="3FE8413C" wp14:editId="4C1B79E1">
            <wp:extent cx="5372100" cy="1127760"/>
            <wp:effectExtent l="0" t="0" r="0" b="0"/>
            <wp:docPr id="1" name="Picture 0" descr="lēmumam.jpg"/>
            <wp:cNvGraphicFramePr/>
            <a:graphic xmlns:a="http://schemas.openxmlformats.org/drawingml/2006/main">
              <a:graphicData uri="http://schemas.openxmlformats.org/drawingml/2006/picture">
                <pic:pic xmlns:pic="http://schemas.openxmlformats.org/drawingml/2006/picture">
                  <pic:nvPicPr>
                    <pic:cNvPr id="1" name="Picture 0" descr="lēmumam.jpg"/>
                    <pic:cNvPicPr/>
                  </pic:nvPicPr>
                  <pic:blipFill rotWithShape="1">
                    <a:blip r:embed="rId6" cstate="print"/>
                    <a:srcRect t="2105" b="83282"/>
                    <a:stretch/>
                  </pic:blipFill>
                  <pic:spPr bwMode="auto">
                    <a:xfrm>
                      <a:off x="0" y="0"/>
                      <a:ext cx="5372100" cy="1127760"/>
                    </a:xfrm>
                    <a:prstGeom prst="rect">
                      <a:avLst/>
                    </a:prstGeom>
                    <a:ln>
                      <a:noFill/>
                    </a:ln>
                    <a:extLst>
                      <a:ext uri="{53640926-AAD7-44D8-BBD7-CCE9431645EC}">
                        <a14:shadowObscured xmlns:a14="http://schemas.microsoft.com/office/drawing/2010/main"/>
                      </a:ext>
                    </a:extLst>
                  </pic:spPr>
                </pic:pic>
              </a:graphicData>
            </a:graphic>
          </wp:inline>
        </w:drawing>
      </w:r>
    </w:p>
    <w:p w:rsidR="00360E51" w:rsidRDefault="0012219F" w:rsidP="00DD223B">
      <w:pPr>
        <w:spacing w:after="0"/>
        <w:jc w:val="center"/>
      </w:pPr>
      <w:r>
        <w:rPr>
          <w:noProof/>
          <w:lang w:eastAsia="lv-LV"/>
        </w:rPr>
        <w:drawing>
          <wp:inline distT="0" distB="0" distL="0" distR="0" wp14:anchorId="5969AD1E" wp14:editId="462334BC">
            <wp:extent cx="411480" cy="3055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a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949" cy="328957"/>
                    </a:xfrm>
                    <a:prstGeom prst="rect">
                      <a:avLst/>
                    </a:prstGeom>
                  </pic:spPr>
                </pic:pic>
              </a:graphicData>
            </a:graphic>
          </wp:inline>
        </w:drawing>
      </w:r>
    </w:p>
    <w:p w:rsidR="0012219F" w:rsidRPr="00DD223B" w:rsidRDefault="0012219F" w:rsidP="0012219F">
      <w:pPr>
        <w:spacing w:after="0"/>
        <w:jc w:val="center"/>
        <w:rPr>
          <w:rFonts w:ascii="Arial" w:hAnsi="Arial" w:cs="Arial"/>
          <w:b/>
          <w:color w:val="0070C0"/>
          <w:sz w:val="14"/>
          <w:szCs w:val="14"/>
        </w:rPr>
      </w:pPr>
      <w:r w:rsidRPr="00DD223B">
        <w:rPr>
          <w:rFonts w:ascii="Arial" w:hAnsi="Arial" w:cs="Arial"/>
          <w:b/>
          <w:color w:val="0070C0"/>
          <w:sz w:val="14"/>
          <w:szCs w:val="14"/>
        </w:rPr>
        <w:t>EN ISO/IEC 17024</w:t>
      </w:r>
    </w:p>
    <w:p w:rsidR="0012219F" w:rsidRPr="00DD223B" w:rsidRDefault="0012219F" w:rsidP="0012219F">
      <w:pPr>
        <w:spacing w:after="0"/>
        <w:jc w:val="center"/>
        <w:rPr>
          <w:rFonts w:ascii="Arial" w:hAnsi="Arial" w:cs="Arial"/>
          <w:b/>
          <w:color w:val="0070C0"/>
          <w:sz w:val="14"/>
          <w:szCs w:val="14"/>
        </w:rPr>
      </w:pPr>
      <w:r w:rsidRPr="00DD223B">
        <w:rPr>
          <w:rFonts w:ascii="Arial" w:hAnsi="Arial" w:cs="Arial"/>
          <w:b/>
          <w:color w:val="0070C0"/>
          <w:sz w:val="14"/>
          <w:szCs w:val="14"/>
        </w:rPr>
        <w:t>S3-220</w:t>
      </w:r>
    </w:p>
    <w:p w:rsidR="0012219F" w:rsidRDefault="0012219F">
      <w:pPr>
        <w:spacing w:after="0"/>
        <w:jc w:val="center"/>
        <w:rPr>
          <w:rFonts w:ascii="Arial" w:hAnsi="Arial" w:cs="Arial"/>
          <w:sz w:val="12"/>
          <w:szCs w:val="12"/>
        </w:rPr>
      </w:pPr>
    </w:p>
    <w:p w:rsidR="000B06E7" w:rsidRDefault="000B06E7" w:rsidP="000B06E7">
      <w:pPr>
        <w:spacing w:after="0"/>
        <w:ind w:hanging="567"/>
        <w:rPr>
          <w:rFonts w:asciiTheme="majorHAnsi" w:hAnsiTheme="majorHAnsi" w:cstheme="majorHAnsi"/>
          <w:sz w:val="24"/>
          <w:szCs w:val="24"/>
        </w:rPr>
      </w:pPr>
      <w:r w:rsidRPr="000B06E7">
        <w:rPr>
          <w:rFonts w:asciiTheme="majorHAnsi" w:hAnsiTheme="majorHAnsi" w:cstheme="majorHAnsi"/>
          <w:sz w:val="24"/>
          <w:szCs w:val="24"/>
        </w:rPr>
        <w:t>2020.gada 6.novembrī Nr. 7/20</w:t>
      </w:r>
    </w:p>
    <w:p w:rsidR="000B06E7" w:rsidRDefault="000B06E7" w:rsidP="000B06E7">
      <w:pPr>
        <w:spacing w:after="0"/>
        <w:rPr>
          <w:rFonts w:asciiTheme="majorHAnsi" w:hAnsiTheme="majorHAnsi" w:cstheme="majorHAnsi"/>
          <w:sz w:val="24"/>
          <w:szCs w:val="24"/>
        </w:rPr>
      </w:pPr>
    </w:p>
    <w:p w:rsidR="000B06E7" w:rsidRDefault="000B06E7" w:rsidP="000B06E7">
      <w:pPr>
        <w:ind w:left="-567"/>
        <w:jc w:val="right"/>
        <w:rPr>
          <w:sz w:val="24"/>
          <w:szCs w:val="24"/>
        </w:rPr>
      </w:pPr>
      <w:r w:rsidRPr="00965CBC">
        <w:rPr>
          <w:sz w:val="24"/>
          <w:szCs w:val="24"/>
        </w:rPr>
        <w:t>LR Ekonomikas ministrija</w:t>
      </w:r>
    </w:p>
    <w:p w:rsidR="000B06E7" w:rsidRDefault="000B06E7" w:rsidP="000B06E7">
      <w:pPr>
        <w:ind w:left="-567"/>
        <w:rPr>
          <w:i/>
          <w:sz w:val="24"/>
          <w:szCs w:val="24"/>
        </w:rPr>
      </w:pPr>
      <w:r>
        <w:rPr>
          <w:i/>
          <w:sz w:val="24"/>
          <w:szCs w:val="24"/>
        </w:rPr>
        <w:t>Par Vispārīgo noteikumu</w:t>
      </w:r>
      <w:r w:rsidRPr="00965CBC">
        <w:rPr>
          <w:i/>
          <w:sz w:val="24"/>
          <w:szCs w:val="24"/>
        </w:rPr>
        <w:t xml:space="preserve"> </w:t>
      </w:r>
      <w:r>
        <w:rPr>
          <w:i/>
          <w:sz w:val="24"/>
          <w:szCs w:val="24"/>
        </w:rPr>
        <w:t>grozījumiem.</w:t>
      </w:r>
    </w:p>
    <w:p w:rsidR="000B06E7" w:rsidRDefault="000B06E7" w:rsidP="000B06E7">
      <w:pPr>
        <w:ind w:left="-567"/>
        <w:jc w:val="both"/>
        <w:rPr>
          <w:sz w:val="24"/>
          <w:szCs w:val="24"/>
        </w:rPr>
      </w:pPr>
      <w:r>
        <w:rPr>
          <w:sz w:val="24"/>
          <w:szCs w:val="24"/>
        </w:rPr>
        <w:tab/>
        <w:t xml:space="preserve">Latvijas melioratoru biedrības Hidromelioratīvās būvniecības speciālistu sertifikācijas centra eksperti iepazinušies ar MK VSS izsludinātā projekta VSS-926 “Grozījumi MK 2014.gada 19.augusta noteikumu “Vispārīgie būvnoteikumi” 1.pielikumu un ar to saistīto anotācijas pielikumu secina, ka savas kompetences ietvaros nepieciešams skaidrot un precizēt šādas ar nozari saistošas normas: </w:t>
      </w:r>
    </w:p>
    <w:p w:rsidR="000B06E7" w:rsidRPr="005329BE" w:rsidRDefault="000B06E7" w:rsidP="000B06E7">
      <w:pPr>
        <w:pStyle w:val="ListParagraph"/>
        <w:numPr>
          <w:ilvl w:val="0"/>
          <w:numId w:val="3"/>
        </w:numPr>
        <w:jc w:val="both"/>
        <w:rPr>
          <w:i/>
          <w:sz w:val="24"/>
          <w:szCs w:val="24"/>
        </w:rPr>
      </w:pPr>
      <w:r w:rsidRPr="005329BE">
        <w:rPr>
          <w:sz w:val="24"/>
          <w:szCs w:val="24"/>
        </w:rPr>
        <w:t xml:space="preserve">Projektā lietoti termini: </w:t>
      </w:r>
      <w:r w:rsidRPr="005329BE">
        <w:rPr>
          <w:i/>
          <w:sz w:val="24"/>
          <w:szCs w:val="24"/>
        </w:rPr>
        <w:t xml:space="preserve">apūdeņošanas hidrobūves, meliorācijas hidrobūves </w:t>
      </w:r>
      <w:r w:rsidRPr="005329BE">
        <w:rPr>
          <w:sz w:val="24"/>
          <w:szCs w:val="24"/>
        </w:rPr>
        <w:t>un</w:t>
      </w:r>
      <w:r w:rsidRPr="005329BE">
        <w:rPr>
          <w:i/>
          <w:sz w:val="24"/>
          <w:szCs w:val="24"/>
        </w:rPr>
        <w:t xml:space="preserve"> hidrotehniskā inženierbūve.</w:t>
      </w:r>
    </w:p>
    <w:p w:rsidR="000B06E7" w:rsidRDefault="000B06E7" w:rsidP="000B06E7">
      <w:pPr>
        <w:pStyle w:val="ListParagraph"/>
        <w:ind w:left="-284" w:firstLine="568"/>
        <w:jc w:val="both"/>
        <w:rPr>
          <w:i/>
          <w:sz w:val="24"/>
          <w:szCs w:val="24"/>
        </w:rPr>
      </w:pPr>
      <w:r>
        <w:rPr>
          <w:i/>
          <w:sz w:val="24"/>
          <w:szCs w:val="24"/>
        </w:rPr>
        <w:t xml:space="preserve"> </w:t>
      </w:r>
      <w:r>
        <w:rPr>
          <w:sz w:val="24"/>
          <w:szCs w:val="24"/>
        </w:rPr>
        <w:t xml:space="preserve">Šo būvju apzīmēšanai gramatiski pareizi būtu lietot nevis </w:t>
      </w:r>
      <w:proofErr w:type="spellStart"/>
      <w:r>
        <w:rPr>
          <w:sz w:val="24"/>
          <w:szCs w:val="24"/>
        </w:rPr>
        <w:t>salikteni</w:t>
      </w:r>
      <w:proofErr w:type="spellEnd"/>
      <w:r>
        <w:rPr>
          <w:sz w:val="24"/>
          <w:szCs w:val="24"/>
        </w:rPr>
        <w:t xml:space="preserve"> (</w:t>
      </w:r>
      <w:r w:rsidRPr="00C404B6">
        <w:rPr>
          <w:i/>
          <w:sz w:val="24"/>
          <w:szCs w:val="24"/>
        </w:rPr>
        <w:t>hidrobūve)</w:t>
      </w:r>
      <w:r>
        <w:rPr>
          <w:sz w:val="24"/>
          <w:szCs w:val="24"/>
        </w:rPr>
        <w:t>, bet gan vārdkopu (</w:t>
      </w:r>
      <w:r w:rsidRPr="00C404B6">
        <w:rPr>
          <w:i/>
          <w:sz w:val="24"/>
          <w:szCs w:val="24"/>
        </w:rPr>
        <w:t>hidrotehniskā būve</w:t>
      </w:r>
      <w:r>
        <w:rPr>
          <w:sz w:val="24"/>
          <w:szCs w:val="24"/>
        </w:rPr>
        <w:t xml:space="preserve">). Projekta 1.pielikuma otrajā daļā ir klasificētas inženierbūves, tāpēc tekstā nevajadzētu terminiem atkārtoti pievienot apzīmējumu </w:t>
      </w:r>
      <w:r>
        <w:rPr>
          <w:i/>
          <w:sz w:val="24"/>
          <w:szCs w:val="24"/>
        </w:rPr>
        <w:t>inženierbūve.</w:t>
      </w:r>
    </w:p>
    <w:p w:rsidR="000B06E7" w:rsidRPr="00936360" w:rsidRDefault="000B06E7" w:rsidP="000B06E7">
      <w:pPr>
        <w:pStyle w:val="ListParagraph"/>
        <w:ind w:left="-284" w:firstLine="436"/>
        <w:jc w:val="both"/>
        <w:rPr>
          <w:i/>
          <w:sz w:val="24"/>
          <w:szCs w:val="24"/>
        </w:rPr>
      </w:pPr>
      <w:r>
        <w:rPr>
          <w:sz w:val="24"/>
          <w:szCs w:val="24"/>
        </w:rPr>
        <w:t xml:space="preserve">Termins </w:t>
      </w:r>
      <w:r w:rsidRPr="00936360">
        <w:rPr>
          <w:i/>
          <w:sz w:val="24"/>
          <w:szCs w:val="24"/>
        </w:rPr>
        <w:t>meliorācija</w:t>
      </w:r>
      <w:r>
        <w:rPr>
          <w:sz w:val="24"/>
          <w:szCs w:val="24"/>
        </w:rPr>
        <w:t xml:space="preserve"> ietver divus galvenos darbu veidus – nosusināšanu un apūdeņošanu. Tāpēc nepareizi lietot gan </w:t>
      </w:r>
      <w:r>
        <w:rPr>
          <w:i/>
          <w:sz w:val="24"/>
          <w:szCs w:val="24"/>
        </w:rPr>
        <w:t xml:space="preserve">meliorācijas hidrobūves </w:t>
      </w:r>
      <w:r w:rsidRPr="008B2024">
        <w:rPr>
          <w:sz w:val="24"/>
          <w:szCs w:val="24"/>
        </w:rPr>
        <w:t>gan</w:t>
      </w:r>
      <w:r>
        <w:rPr>
          <w:i/>
          <w:sz w:val="24"/>
          <w:szCs w:val="24"/>
        </w:rPr>
        <w:t xml:space="preserve"> apūdeņošanas hidrobūves.</w:t>
      </w:r>
    </w:p>
    <w:p w:rsidR="000B06E7" w:rsidRPr="0021672A" w:rsidRDefault="000B06E7" w:rsidP="000B06E7">
      <w:pPr>
        <w:pStyle w:val="ListParagraph"/>
        <w:numPr>
          <w:ilvl w:val="0"/>
          <w:numId w:val="3"/>
        </w:numPr>
        <w:jc w:val="both"/>
        <w:rPr>
          <w:i/>
          <w:sz w:val="24"/>
          <w:szCs w:val="24"/>
        </w:rPr>
      </w:pPr>
      <w:r>
        <w:rPr>
          <w:sz w:val="24"/>
          <w:szCs w:val="24"/>
        </w:rPr>
        <w:t xml:space="preserve">Saraksts par būvju iedalījumu papildināts ar jaunām būvēm – </w:t>
      </w:r>
      <w:r w:rsidRPr="00270683">
        <w:rPr>
          <w:i/>
          <w:sz w:val="24"/>
          <w:szCs w:val="24"/>
        </w:rPr>
        <w:t>visa veida piestātnes</w:t>
      </w:r>
      <w:r>
        <w:rPr>
          <w:i/>
          <w:sz w:val="24"/>
          <w:szCs w:val="24"/>
        </w:rPr>
        <w:t xml:space="preserve"> </w:t>
      </w:r>
      <w:r>
        <w:rPr>
          <w:sz w:val="24"/>
          <w:szCs w:val="24"/>
        </w:rPr>
        <w:t>un</w:t>
      </w:r>
      <w:r w:rsidRPr="00270683">
        <w:rPr>
          <w:i/>
          <w:sz w:val="24"/>
          <w:szCs w:val="24"/>
        </w:rPr>
        <w:t xml:space="preserve"> krastmalas ar dažādu veidu krast</w:t>
      </w:r>
      <w:r>
        <w:rPr>
          <w:i/>
          <w:sz w:val="24"/>
          <w:szCs w:val="24"/>
        </w:rPr>
        <w:t>a</w:t>
      </w:r>
      <w:r w:rsidRPr="00270683">
        <w:rPr>
          <w:i/>
          <w:sz w:val="24"/>
          <w:szCs w:val="24"/>
        </w:rPr>
        <w:t xml:space="preserve"> nostiprinājumiem</w:t>
      </w:r>
      <w:r>
        <w:rPr>
          <w:i/>
          <w:sz w:val="24"/>
          <w:szCs w:val="24"/>
        </w:rPr>
        <w:t xml:space="preserve">, </w:t>
      </w:r>
      <w:r>
        <w:rPr>
          <w:sz w:val="24"/>
          <w:szCs w:val="24"/>
        </w:rPr>
        <w:t>un to raksturlielumiem, kas atbilstoši tās iedala dažādās būvju grupās.</w:t>
      </w:r>
    </w:p>
    <w:p w:rsidR="000B06E7" w:rsidRDefault="000B06E7" w:rsidP="000B06E7">
      <w:pPr>
        <w:pStyle w:val="ListParagraph"/>
        <w:ind w:left="-142" w:firstLine="363"/>
        <w:jc w:val="both"/>
        <w:rPr>
          <w:sz w:val="24"/>
          <w:szCs w:val="24"/>
        </w:rPr>
      </w:pPr>
      <w:r w:rsidRPr="00270683">
        <w:rPr>
          <w:i/>
          <w:sz w:val="24"/>
          <w:szCs w:val="24"/>
        </w:rPr>
        <w:t xml:space="preserve"> </w:t>
      </w:r>
      <w:r>
        <w:rPr>
          <w:sz w:val="24"/>
          <w:szCs w:val="24"/>
        </w:rPr>
        <w:t xml:space="preserve">Anotācijas tabulā šīs būves attiecinātas uz MK noteikumiem Nr.253 “Atsevišķu inženierbūvju būvnoteikumi”, bet to 2.1 apakšpunktā norādīts, ka šie noteikumi neattiecas uz hidrotehniskajām (izņemot ostu hidrotehniskās inženierbūves) un meliorācijas būvēm. Tā kā piestātnes un krastu nostiprinājumi viennozīmīgi atbilst hidrotehnisko būvju definīcijai (hidrotehniska būve – būve uz kuru iedarbojas ūdens spiediens), tad tās iekšzemes ūdeņos attiecināmas uz MK noteikumu Nr.550 “Hidrotehnisko un meliorācijas būvju būvniecības kārtība” kompetenci. </w:t>
      </w:r>
    </w:p>
    <w:p w:rsidR="000B06E7" w:rsidRDefault="000B06E7" w:rsidP="000B06E7">
      <w:pPr>
        <w:pStyle w:val="ListParagraph"/>
        <w:ind w:left="-142" w:firstLine="363"/>
        <w:jc w:val="both"/>
        <w:rPr>
          <w:sz w:val="24"/>
          <w:szCs w:val="24"/>
        </w:rPr>
      </w:pPr>
      <w:r>
        <w:rPr>
          <w:sz w:val="24"/>
          <w:szCs w:val="24"/>
        </w:rPr>
        <w:t>Hidrotehniskas būves (piestātnes un krastu nostiprinājumi) būvniecības apstākļu un iedarbības uz vidi dēļ nedrīkstētu pieskaitīt 1.grupas būvēm.</w:t>
      </w:r>
    </w:p>
    <w:p w:rsidR="000B06E7" w:rsidRDefault="000B06E7" w:rsidP="000B06E7">
      <w:pPr>
        <w:pStyle w:val="ListParagraph"/>
        <w:ind w:left="-142" w:firstLine="363"/>
        <w:jc w:val="both"/>
        <w:rPr>
          <w:sz w:val="24"/>
          <w:szCs w:val="24"/>
        </w:rPr>
      </w:pPr>
      <w:r>
        <w:rPr>
          <w:sz w:val="24"/>
          <w:szCs w:val="24"/>
        </w:rPr>
        <w:t xml:space="preserve">Termins </w:t>
      </w:r>
      <w:r w:rsidRPr="000907DA">
        <w:rPr>
          <w:i/>
          <w:sz w:val="24"/>
          <w:szCs w:val="24"/>
        </w:rPr>
        <w:t>visa veida piestātnes</w:t>
      </w:r>
      <w:r>
        <w:rPr>
          <w:sz w:val="24"/>
          <w:szCs w:val="24"/>
        </w:rPr>
        <w:t xml:space="preserve"> liek saprast, ka šeit var ietilpt arī peldošas piestātnes, kas īsti neatbilstu būvju vērtējumam.</w:t>
      </w:r>
    </w:p>
    <w:p w:rsidR="000B06E7" w:rsidRDefault="000B06E7" w:rsidP="000B06E7">
      <w:pPr>
        <w:pStyle w:val="ListParagraph"/>
        <w:ind w:left="-142" w:firstLine="363"/>
        <w:jc w:val="both"/>
        <w:rPr>
          <w:i/>
          <w:sz w:val="24"/>
          <w:szCs w:val="24"/>
        </w:rPr>
      </w:pPr>
      <w:r>
        <w:rPr>
          <w:sz w:val="24"/>
          <w:szCs w:val="24"/>
        </w:rPr>
        <w:t xml:space="preserve">Šo būvju izvēlētais raksturlielums – </w:t>
      </w:r>
      <w:r>
        <w:rPr>
          <w:i/>
          <w:sz w:val="24"/>
          <w:szCs w:val="24"/>
        </w:rPr>
        <w:t xml:space="preserve">ūdens līmeņa maksimālais augstums pret piegulošās grunts virsmas atzīmēm - </w:t>
      </w:r>
      <w:r>
        <w:rPr>
          <w:sz w:val="24"/>
          <w:szCs w:val="24"/>
        </w:rPr>
        <w:t xml:space="preserve">neraksturo būves atkarību no būvniecības sarežģītības pakāpes un iespējamo ietekmi uz vidi. Vēlams būtu lietot: </w:t>
      </w:r>
      <w:r>
        <w:rPr>
          <w:i/>
          <w:sz w:val="24"/>
          <w:szCs w:val="24"/>
        </w:rPr>
        <w:t>ūdens dziļums ūdenstecē vai ūdenstilpē.</w:t>
      </w:r>
    </w:p>
    <w:p w:rsidR="000B06E7" w:rsidRDefault="000B06E7" w:rsidP="000B06E7">
      <w:pPr>
        <w:pStyle w:val="ListParagraph"/>
        <w:numPr>
          <w:ilvl w:val="0"/>
          <w:numId w:val="3"/>
        </w:numPr>
        <w:ind w:left="-142" w:hanging="284"/>
        <w:jc w:val="both"/>
        <w:rPr>
          <w:sz w:val="24"/>
          <w:szCs w:val="24"/>
        </w:rPr>
      </w:pPr>
      <w:r>
        <w:rPr>
          <w:sz w:val="24"/>
          <w:szCs w:val="24"/>
        </w:rPr>
        <w:t>1.tabulas 3.2.1. apakšpunktā iekļautas būves a</w:t>
      </w:r>
      <w:r>
        <w:rPr>
          <w:i/>
          <w:sz w:val="24"/>
          <w:szCs w:val="24"/>
        </w:rPr>
        <w:t>pūdeņošanas hidrobūves, kuru maksimālā caurplūde pārsniedz 500 m</w:t>
      </w:r>
      <w:r>
        <w:rPr>
          <w:i/>
          <w:sz w:val="24"/>
          <w:szCs w:val="24"/>
          <w:vertAlign w:val="superscript"/>
        </w:rPr>
        <w:t>3</w:t>
      </w:r>
      <w:r>
        <w:rPr>
          <w:i/>
          <w:sz w:val="24"/>
          <w:szCs w:val="24"/>
        </w:rPr>
        <w:t xml:space="preserve">/s, </w:t>
      </w:r>
      <w:r>
        <w:rPr>
          <w:sz w:val="24"/>
          <w:szCs w:val="24"/>
        </w:rPr>
        <w:t xml:space="preserve">un 3.2.24. apakšpunktā </w:t>
      </w:r>
      <w:r>
        <w:rPr>
          <w:i/>
          <w:sz w:val="24"/>
          <w:szCs w:val="24"/>
        </w:rPr>
        <w:t>Meliorācijas hidrobūves, kuru maksimālā caurplūde pārsniedz 500 m</w:t>
      </w:r>
      <w:r>
        <w:rPr>
          <w:i/>
          <w:sz w:val="24"/>
          <w:szCs w:val="24"/>
          <w:vertAlign w:val="superscript"/>
        </w:rPr>
        <w:t>3</w:t>
      </w:r>
      <w:r>
        <w:rPr>
          <w:i/>
          <w:sz w:val="24"/>
          <w:szCs w:val="24"/>
        </w:rPr>
        <w:t xml:space="preserve">/s. </w:t>
      </w:r>
    </w:p>
    <w:p w:rsidR="000B06E7" w:rsidRDefault="000B06E7" w:rsidP="000B06E7">
      <w:pPr>
        <w:pStyle w:val="ListParagraph"/>
        <w:ind w:left="-142" w:firstLine="284"/>
        <w:jc w:val="both"/>
        <w:rPr>
          <w:i/>
          <w:sz w:val="24"/>
          <w:szCs w:val="24"/>
        </w:rPr>
      </w:pPr>
      <w:r>
        <w:rPr>
          <w:sz w:val="24"/>
          <w:szCs w:val="24"/>
        </w:rPr>
        <w:t xml:space="preserve">Šāds dalījums nav teorētiski pamatots (skat. iebildi 1.punktā), jālieto </w:t>
      </w:r>
      <w:r>
        <w:rPr>
          <w:i/>
          <w:sz w:val="24"/>
          <w:szCs w:val="24"/>
        </w:rPr>
        <w:t>ūdens noteces un līmeņu regulēšanas hidrotehniskā būve.</w:t>
      </w:r>
    </w:p>
    <w:p w:rsidR="000B06E7" w:rsidRDefault="000B06E7" w:rsidP="000B06E7">
      <w:pPr>
        <w:pStyle w:val="ListParagraph"/>
        <w:numPr>
          <w:ilvl w:val="0"/>
          <w:numId w:val="3"/>
        </w:numPr>
        <w:ind w:left="-142" w:hanging="284"/>
        <w:jc w:val="both"/>
        <w:rPr>
          <w:sz w:val="24"/>
          <w:szCs w:val="24"/>
        </w:rPr>
      </w:pPr>
      <w:r>
        <w:rPr>
          <w:sz w:val="24"/>
          <w:szCs w:val="24"/>
        </w:rPr>
        <w:lastRenderedPageBreak/>
        <w:t xml:space="preserve">1.tabulas 3.2.5. apakšpunktā iekļauta būve </w:t>
      </w:r>
      <w:r>
        <w:rPr>
          <w:i/>
          <w:sz w:val="24"/>
          <w:szCs w:val="24"/>
        </w:rPr>
        <w:t>dambis, aizsprosts u.tml. ūdens uzkrāšanas inženierbūves, ja ūdens līmeņa maksimālais augstums ir vairāk kā 4 m augstāk par piegulošās grunts virsmas atzīmi inženierbūves sausajā pusē.</w:t>
      </w:r>
    </w:p>
    <w:p w:rsidR="000B06E7" w:rsidRDefault="000B06E7" w:rsidP="000B06E7">
      <w:pPr>
        <w:pStyle w:val="ListParagraph"/>
        <w:ind w:left="-142" w:firstLine="142"/>
        <w:jc w:val="both"/>
        <w:rPr>
          <w:sz w:val="24"/>
          <w:szCs w:val="24"/>
        </w:rPr>
      </w:pPr>
      <w:r>
        <w:rPr>
          <w:sz w:val="24"/>
          <w:szCs w:val="24"/>
        </w:rPr>
        <w:t xml:space="preserve">    Termins </w:t>
      </w:r>
      <w:r>
        <w:rPr>
          <w:i/>
          <w:sz w:val="24"/>
          <w:szCs w:val="24"/>
        </w:rPr>
        <w:t>ūdens uzkrāšanas inženierbūves</w:t>
      </w:r>
      <w:r>
        <w:rPr>
          <w:sz w:val="24"/>
          <w:szCs w:val="24"/>
        </w:rPr>
        <w:t xml:space="preserve"> sašaurina aizsprosta, arī dambja lietošanas jēgu hidrotehniskajā būvniecībā. Ieteicams lietot</w:t>
      </w:r>
      <w:r w:rsidRPr="00C713DC">
        <w:rPr>
          <w:i/>
          <w:sz w:val="24"/>
          <w:szCs w:val="24"/>
        </w:rPr>
        <w:t xml:space="preserve"> </w:t>
      </w:r>
      <w:r>
        <w:rPr>
          <w:i/>
          <w:sz w:val="24"/>
          <w:szCs w:val="24"/>
        </w:rPr>
        <w:t>ūdens noteces un līmeņu regulēšanas hidrotehniskā būve</w:t>
      </w:r>
      <w:r>
        <w:rPr>
          <w:sz w:val="24"/>
          <w:szCs w:val="24"/>
        </w:rPr>
        <w:t xml:space="preserve"> (skat. Iebildi 3.punktā).</w:t>
      </w:r>
    </w:p>
    <w:p w:rsidR="000B06E7" w:rsidRPr="00C713DC" w:rsidRDefault="000B06E7" w:rsidP="000B06E7">
      <w:pPr>
        <w:pStyle w:val="ListParagraph"/>
        <w:ind w:left="-142" w:firstLine="426"/>
        <w:jc w:val="both"/>
        <w:rPr>
          <w:sz w:val="24"/>
          <w:szCs w:val="24"/>
        </w:rPr>
      </w:pPr>
      <w:r>
        <w:rPr>
          <w:sz w:val="24"/>
          <w:szCs w:val="24"/>
        </w:rPr>
        <w:t xml:space="preserve">Šādām hidrotehniskajām būvēm noteicošais raksturlielums ir ūdens līmeņu starpība starp augšas un lejas </w:t>
      </w:r>
      <w:proofErr w:type="spellStart"/>
      <w:r>
        <w:rPr>
          <w:sz w:val="24"/>
          <w:szCs w:val="24"/>
        </w:rPr>
        <w:t>bjefiem</w:t>
      </w:r>
      <w:proofErr w:type="spellEnd"/>
      <w:r>
        <w:rPr>
          <w:sz w:val="24"/>
          <w:szCs w:val="24"/>
        </w:rPr>
        <w:t xml:space="preserve"> un ar to saistītais aizsprosta augstums, kā arī</w:t>
      </w:r>
      <w:r w:rsidRPr="008F5EC6">
        <w:rPr>
          <w:sz w:val="24"/>
          <w:szCs w:val="24"/>
        </w:rPr>
        <w:t xml:space="preserve"> </w:t>
      </w:r>
      <w:r>
        <w:rPr>
          <w:sz w:val="24"/>
          <w:szCs w:val="24"/>
        </w:rPr>
        <w:t xml:space="preserve">ūdens </w:t>
      </w:r>
      <w:proofErr w:type="spellStart"/>
      <w:r>
        <w:rPr>
          <w:sz w:val="24"/>
          <w:szCs w:val="24"/>
        </w:rPr>
        <w:t>caurvades</w:t>
      </w:r>
      <w:proofErr w:type="spellEnd"/>
      <w:r>
        <w:rPr>
          <w:sz w:val="24"/>
          <w:szCs w:val="24"/>
        </w:rPr>
        <w:t xml:space="preserve"> spēja, nevis augstums pret apkārtējo zemes virsmu. </w:t>
      </w:r>
    </w:p>
    <w:p w:rsidR="000B06E7" w:rsidRPr="00E979FD" w:rsidRDefault="000B06E7" w:rsidP="000B06E7">
      <w:pPr>
        <w:pStyle w:val="ListParagraph"/>
        <w:numPr>
          <w:ilvl w:val="0"/>
          <w:numId w:val="3"/>
        </w:numPr>
        <w:ind w:hanging="219"/>
        <w:jc w:val="both"/>
        <w:rPr>
          <w:sz w:val="24"/>
          <w:szCs w:val="24"/>
        </w:rPr>
      </w:pPr>
      <w:r>
        <w:rPr>
          <w:sz w:val="24"/>
          <w:szCs w:val="24"/>
        </w:rPr>
        <w:t xml:space="preserve"> 1.tabulas 3.2.32. apakšpunktā hidroelektrostacijām noteikts kritērijs </w:t>
      </w:r>
      <w:r>
        <w:rPr>
          <w:i/>
          <w:sz w:val="24"/>
          <w:szCs w:val="24"/>
        </w:rPr>
        <w:t>projektētā jauda ir no 1 MW.</w:t>
      </w:r>
    </w:p>
    <w:p w:rsidR="000B06E7" w:rsidRDefault="000B06E7" w:rsidP="000B06E7">
      <w:pPr>
        <w:pStyle w:val="ListParagraph"/>
        <w:ind w:left="-142" w:firstLine="426"/>
        <w:jc w:val="both"/>
        <w:rPr>
          <w:sz w:val="24"/>
          <w:szCs w:val="24"/>
        </w:rPr>
      </w:pPr>
      <w:proofErr w:type="spellStart"/>
      <w:r>
        <w:rPr>
          <w:sz w:val="24"/>
          <w:szCs w:val="24"/>
        </w:rPr>
        <w:t>Hidroenerģētikas</w:t>
      </w:r>
      <w:proofErr w:type="spellEnd"/>
      <w:r>
        <w:rPr>
          <w:sz w:val="24"/>
          <w:szCs w:val="24"/>
        </w:rPr>
        <w:t xml:space="preserve"> praksē Latvijā hidroelektrostacijas ar uzstādīto jaudu līdz 2 </w:t>
      </w:r>
      <w:r>
        <w:rPr>
          <w:i/>
          <w:sz w:val="24"/>
          <w:szCs w:val="24"/>
        </w:rPr>
        <w:t xml:space="preserve">MW, </w:t>
      </w:r>
      <w:r>
        <w:rPr>
          <w:sz w:val="24"/>
          <w:szCs w:val="24"/>
        </w:rPr>
        <w:t xml:space="preserve">Eiropā līdz 10 </w:t>
      </w:r>
      <w:r>
        <w:rPr>
          <w:i/>
          <w:sz w:val="24"/>
          <w:szCs w:val="24"/>
        </w:rPr>
        <w:t>MW</w:t>
      </w:r>
      <w:r>
        <w:rPr>
          <w:sz w:val="24"/>
          <w:szCs w:val="24"/>
        </w:rPr>
        <w:t xml:space="preserve"> tiek uzskatītas par mazajiem HES. Lietderīgi tās (līdz </w:t>
      </w:r>
      <w:r w:rsidRPr="00E979FD">
        <w:rPr>
          <w:sz w:val="24"/>
          <w:szCs w:val="24"/>
        </w:rPr>
        <w:t>2</w:t>
      </w:r>
      <w:r>
        <w:rPr>
          <w:sz w:val="24"/>
          <w:szCs w:val="24"/>
        </w:rPr>
        <w:t xml:space="preserve"> </w:t>
      </w:r>
      <w:r w:rsidRPr="00E979FD">
        <w:rPr>
          <w:sz w:val="24"/>
          <w:szCs w:val="24"/>
        </w:rPr>
        <w:t>MW</w:t>
      </w:r>
      <w:r>
        <w:rPr>
          <w:sz w:val="24"/>
          <w:szCs w:val="24"/>
        </w:rPr>
        <w:t xml:space="preserve">) attiecināt uz būvju 2.grupu, bet vairāk par 2 </w:t>
      </w:r>
      <w:r>
        <w:rPr>
          <w:i/>
          <w:sz w:val="24"/>
          <w:szCs w:val="24"/>
        </w:rPr>
        <w:t xml:space="preserve">MW – </w:t>
      </w:r>
      <w:r>
        <w:rPr>
          <w:sz w:val="24"/>
          <w:szCs w:val="24"/>
        </w:rPr>
        <w:t>uz trešo grupu.</w:t>
      </w:r>
    </w:p>
    <w:p w:rsidR="000B06E7" w:rsidRPr="001C553C" w:rsidRDefault="000B06E7" w:rsidP="000B06E7">
      <w:pPr>
        <w:pStyle w:val="ListParagraph"/>
        <w:numPr>
          <w:ilvl w:val="0"/>
          <w:numId w:val="3"/>
        </w:numPr>
        <w:ind w:hanging="219"/>
        <w:jc w:val="both"/>
        <w:rPr>
          <w:sz w:val="24"/>
          <w:szCs w:val="24"/>
        </w:rPr>
      </w:pPr>
      <w:r w:rsidRPr="001C553C">
        <w:rPr>
          <w:sz w:val="24"/>
          <w:szCs w:val="24"/>
        </w:rPr>
        <w:t xml:space="preserve">   3.2.25. apakšpunktā iekļautie </w:t>
      </w:r>
      <w:r w:rsidRPr="001C553C">
        <w:rPr>
          <w:i/>
          <w:sz w:val="24"/>
          <w:szCs w:val="24"/>
        </w:rPr>
        <w:t xml:space="preserve">moli </w:t>
      </w:r>
      <w:r w:rsidRPr="001C553C">
        <w:rPr>
          <w:sz w:val="24"/>
          <w:szCs w:val="24"/>
        </w:rPr>
        <w:t xml:space="preserve">un 3.2.37. apakšpunktā iekļautie </w:t>
      </w:r>
      <w:r w:rsidRPr="001C553C">
        <w:rPr>
          <w:i/>
          <w:sz w:val="24"/>
          <w:szCs w:val="24"/>
        </w:rPr>
        <w:t xml:space="preserve">viļņlauži </w:t>
      </w:r>
      <w:r w:rsidRPr="001C553C">
        <w:rPr>
          <w:sz w:val="24"/>
          <w:szCs w:val="24"/>
        </w:rPr>
        <w:t xml:space="preserve">praksē ir viena tipa būves vai to sastāvdaļas, </w:t>
      </w:r>
      <w:r>
        <w:rPr>
          <w:sz w:val="24"/>
          <w:szCs w:val="24"/>
        </w:rPr>
        <w:t>tāpēc</w:t>
      </w:r>
      <w:r w:rsidRPr="001C553C">
        <w:rPr>
          <w:sz w:val="24"/>
          <w:szCs w:val="24"/>
        </w:rPr>
        <w:t xml:space="preserve"> pamatoti būtu tos apvienot vienā </w:t>
      </w:r>
      <w:r>
        <w:rPr>
          <w:sz w:val="24"/>
          <w:szCs w:val="24"/>
        </w:rPr>
        <w:t>a</w:t>
      </w:r>
      <w:r w:rsidRPr="001C553C">
        <w:rPr>
          <w:sz w:val="24"/>
          <w:szCs w:val="24"/>
        </w:rPr>
        <w:t>pakšpunktā.</w:t>
      </w:r>
    </w:p>
    <w:p w:rsidR="000B06E7" w:rsidRDefault="000B06E7" w:rsidP="000B06E7">
      <w:pPr>
        <w:pStyle w:val="ListParagraph"/>
        <w:ind w:left="-207"/>
        <w:jc w:val="both"/>
        <w:rPr>
          <w:sz w:val="24"/>
          <w:szCs w:val="24"/>
        </w:rPr>
      </w:pPr>
    </w:p>
    <w:p w:rsidR="000B06E7" w:rsidRDefault="000B06E7" w:rsidP="000B06E7">
      <w:pPr>
        <w:pStyle w:val="ListParagraph"/>
        <w:ind w:left="-207"/>
        <w:jc w:val="both"/>
        <w:rPr>
          <w:sz w:val="24"/>
          <w:szCs w:val="24"/>
        </w:rPr>
      </w:pPr>
      <w:r>
        <w:rPr>
          <w:sz w:val="24"/>
          <w:szCs w:val="24"/>
        </w:rPr>
        <w:tab/>
      </w:r>
      <w:r>
        <w:rPr>
          <w:sz w:val="24"/>
          <w:szCs w:val="24"/>
        </w:rPr>
        <w:tab/>
        <w:t>Nolūkā uzlabot normatīvā dokumenta pamatotību un atbilstību visu nozaru teorijai un praksei, ierosinām izsludināto grozījumu 1.pielikumā izdarīt šādus labojumus:</w:t>
      </w:r>
    </w:p>
    <w:p w:rsidR="000B06E7" w:rsidRDefault="000B06E7" w:rsidP="000B06E7">
      <w:pPr>
        <w:pStyle w:val="ListParagraph"/>
        <w:ind w:left="-207"/>
        <w:jc w:val="both"/>
        <w:rPr>
          <w:sz w:val="24"/>
          <w:szCs w:val="24"/>
        </w:rPr>
      </w:pPr>
      <w:r>
        <w:rPr>
          <w:sz w:val="24"/>
          <w:szCs w:val="24"/>
        </w:rPr>
        <w:tab/>
        <w:t>3.1.19. svītrot tekstu;</w:t>
      </w:r>
    </w:p>
    <w:p w:rsidR="000B06E7" w:rsidRDefault="000B06E7" w:rsidP="000B06E7">
      <w:pPr>
        <w:pStyle w:val="ListParagraph"/>
        <w:ind w:left="-207"/>
        <w:jc w:val="both"/>
        <w:rPr>
          <w:sz w:val="24"/>
          <w:szCs w:val="24"/>
        </w:rPr>
      </w:pPr>
      <w:r>
        <w:rPr>
          <w:sz w:val="24"/>
          <w:szCs w:val="24"/>
        </w:rPr>
        <w:tab/>
        <w:t>3.2.1.   svītrot tekstu;</w:t>
      </w:r>
    </w:p>
    <w:p w:rsidR="000B06E7" w:rsidRDefault="000B06E7" w:rsidP="000B06E7">
      <w:pPr>
        <w:pStyle w:val="ListParagraph"/>
        <w:ind w:left="-207"/>
        <w:jc w:val="both"/>
        <w:rPr>
          <w:sz w:val="24"/>
          <w:szCs w:val="24"/>
        </w:rPr>
      </w:pPr>
      <w:r>
        <w:rPr>
          <w:sz w:val="24"/>
          <w:szCs w:val="24"/>
        </w:rPr>
        <w:tab/>
        <w:t>3.2.5.   izteikt šādā redakcijā</w:t>
      </w:r>
      <w:r>
        <w:rPr>
          <w:sz w:val="24"/>
          <w:szCs w:val="24"/>
        </w:rPr>
        <w:t xml:space="preserve"> (kāda bija pirms grozījumu projekta):</w:t>
      </w:r>
      <w:bookmarkStart w:id="0" w:name="_GoBack"/>
      <w:bookmarkEnd w:id="0"/>
    </w:p>
    <w:p w:rsidR="000B06E7" w:rsidRPr="00B30C7C" w:rsidRDefault="000B06E7" w:rsidP="000B06E7">
      <w:pPr>
        <w:pStyle w:val="ListParagraph"/>
        <w:ind w:left="567" w:hanging="851"/>
        <w:jc w:val="both"/>
        <w:rPr>
          <w:sz w:val="24"/>
          <w:szCs w:val="24"/>
        </w:rPr>
      </w:pPr>
      <w:r w:rsidRPr="00B30C7C">
        <w:rPr>
          <w:sz w:val="24"/>
          <w:szCs w:val="24"/>
        </w:rPr>
        <w:tab/>
        <w:t>Ūdens noteces un līmeņa regulēšanas hidrotehniskās būves, ja aizsprosta augstums pārsniedz 10</w:t>
      </w:r>
      <w:r>
        <w:rPr>
          <w:sz w:val="24"/>
          <w:szCs w:val="24"/>
        </w:rPr>
        <w:t xml:space="preserve"> </w:t>
      </w:r>
      <w:r w:rsidRPr="00B30C7C">
        <w:rPr>
          <w:sz w:val="24"/>
          <w:szCs w:val="24"/>
        </w:rPr>
        <w:t xml:space="preserve">m, vai </w:t>
      </w:r>
      <w:proofErr w:type="spellStart"/>
      <w:r w:rsidRPr="00B30C7C">
        <w:rPr>
          <w:sz w:val="24"/>
          <w:szCs w:val="24"/>
        </w:rPr>
        <w:t>novadbūves</w:t>
      </w:r>
      <w:proofErr w:type="spellEnd"/>
      <w:r w:rsidRPr="00B30C7C">
        <w:rPr>
          <w:sz w:val="24"/>
          <w:szCs w:val="24"/>
        </w:rPr>
        <w:t xml:space="preserve"> </w:t>
      </w:r>
      <w:proofErr w:type="spellStart"/>
      <w:r w:rsidRPr="00B30C7C">
        <w:rPr>
          <w:sz w:val="24"/>
          <w:szCs w:val="24"/>
        </w:rPr>
        <w:t>caurvades</w:t>
      </w:r>
      <w:proofErr w:type="spellEnd"/>
      <w:r w:rsidRPr="00B30C7C">
        <w:rPr>
          <w:sz w:val="24"/>
          <w:szCs w:val="24"/>
        </w:rPr>
        <w:t xml:space="preserve"> spēja ir lielāka par 500 m</w:t>
      </w:r>
      <w:r w:rsidRPr="00B30C7C">
        <w:rPr>
          <w:sz w:val="24"/>
          <w:szCs w:val="24"/>
          <w:vertAlign w:val="superscript"/>
        </w:rPr>
        <w:t>3</w:t>
      </w:r>
      <w:r w:rsidRPr="00B30C7C">
        <w:rPr>
          <w:sz w:val="24"/>
          <w:szCs w:val="24"/>
        </w:rPr>
        <w:t>/s</w:t>
      </w:r>
      <w:r>
        <w:rPr>
          <w:sz w:val="24"/>
          <w:szCs w:val="24"/>
        </w:rPr>
        <w:t>;</w:t>
      </w:r>
    </w:p>
    <w:p w:rsidR="000B06E7" w:rsidRDefault="000B06E7" w:rsidP="000B06E7">
      <w:pPr>
        <w:pStyle w:val="ListParagraph"/>
        <w:ind w:left="-207"/>
        <w:jc w:val="both"/>
        <w:rPr>
          <w:sz w:val="24"/>
          <w:szCs w:val="24"/>
        </w:rPr>
      </w:pPr>
      <w:r>
        <w:rPr>
          <w:sz w:val="24"/>
          <w:szCs w:val="24"/>
        </w:rPr>
        <w:tab/>
        <w:t>3.2.15. izteikt šādā redakcijā:</w:t>
      </w:r>
    </w:p>
    <w:p w:rsidR="000B06E7" w:rsidRDefault="000B06E7" w:rsidP="000B06E7">
      <w:pPr>
        <w:pStyle w:val="ListParagraph"/>
        <w:ind w:left="567" w:hanging="567"/>
        <w:jc w:val="both"/>
        <w:rPr>
          <w:sz w:val="24"/>
          <w:szCs w:val="24"/>
        </w:rPr>
      </w:pPr>
      <w:r>
        <w:rPr>
          <w:sz w:val="24"/>
          <w:szCs w:val="24"/>
        </w:rPr>
        <w:tab/>
        <w:t>Stacionārās piestātnes ūdenstecēs un ūdenstilpēs, ja ūdens dziļums lielāks par 6 m;</w:t>
      </w:r>
    </w:p>
    <w:p w:rsidR="000B06E7" w:rsidRDefault="000B06E7" w:rsidP="000B06E7">
      <w:pPr>
        <w:pStyle w:val="ListParagraph"/>
        <w:ind w:left="567" w:hanging="567"/>
        <w:jc w:val="both"/>
        <w:rPr>
          <w:sz w:val="24"/>
          <w:szCs w:val="24"/>
        </w:rPr>
      </w:pPr>
      <w:r>
        <w:rPr>
          <w:sz w:val="24"/>
          <w:szCs w:val="24"/>
        </w:rPr>
        <w:t>3.2.16. izteikt šādā redakcijā:</w:t>
      </w:r>
    </w:p>
    <w:p w:rsidR="000B06E7" w:rsidRDefault="000B06E7" w:rsidP="000B06E7">
      <w:pPr>
        <w:pStyle w:val="ListParagraph"/>
        <w:ind w:left="567" w:hanging="567"/>
        <w:jc w:val="both"/>
        <w:rPr>
          <w:sz w:val="24"/>
          <w:szCs w:val="24"/>
        </w:rPr>
      </w:pPr>
      <w:r>
        <w:rPr>
          <w:sz w:val="24"/>
          <w:szCs w:val="24"/>
        </w:rPr>
        <w:tab/>
        <w:t>Stacionāras piestātnes un krasta nostiprinājumi jūrā un ostās;</w:t>
      </w:r>
    </w:p>
    <w:p w:rsidR="000B06E7" w:rsidRDefault="000B06E7" w:rsidP="000B06E7">
      <w:pPr>
        <w:pStyle w:val="ListParagraph"/>
        <w:ind w:left="567" w:hanging="567"/>
        <w:jc w:val="both"/>
        <w:rPr>
          <w:sz w:val="24"/>
          <w:szCs w:val="24"/>
        </w:rPr>
      </w:pPr>
      <w:r>
        <w:rPr>
          <w:sz w:val="24"/>
          <w:szCs w:val="24"/>
        </w:rPr>
        <w:t>3.2.20. izteikt šādā redakcijā:</w:t>
      </w:r>
    </w:p>
    <w:p w:rsidR="000B06E7" w:rsidRDefault="000B06E7" w:rsidP="000B06E7">
      <w:pPr>
        <w:pStyle w:val="ListParagraph"/>
        <w:ind w:left="567" w:hanging="567"/>
        <w:jc w:val="both"/>
        <w:rPr>
          <w:sz w:val="24"/>
          <w:szCs w:val="24"/>
        </w:rPr>
      </w:pPr>
      <w:r>
        <w:rPr>
          <w:sz w:val="24"/>
          <w:szCs w:val="24"/>
        </w:rPr>
        <w:tab/>
        <w:t>Ūdensteču un ūdenstilpju krasta nostiprinājumi un krastmalas, ja ūdens dziļums lielāks par 6 m;</w:t>
      </w:r>
      <w:r>
        <w:rPr>
          <w:sz w:val="24"/>
          <w:szCs w:val="24"/>
        </w:rPr>
        <w:tab/>
      </w:r>
    </w:p>
    <w:p w:rsidR="000B06E7" w:rsidRDefault="000B06E7" w:rsidP="000B06E7">
      <w:pPr>
        <w:pStyle w:val="ListParagraph"/>
        <w:ind w:left="567" w:hanging="567"/>
        <w:jc w:val="both"/>
        <w:rPr>
          <w:sz w:val="24"/>
          <w:szCs w:val="24"/>
        </w:rPr>
      </w:pPr>
      <w:r>
        <w:rPr>
          <w:sz w:val="24"/>
          <w:szCs w:val="24"/>
        </w:rPr>
        <w:t>3.2.24. Svītrot tekstu.</w:t>
      </w:r>
    </w:p>
    <w:p w:rsidR="000B06E7" w:rsidRDefault="000B06E7" w:rsidP="000B06E7">
      <w:pPr>
        <w:pStyle w:val="ListParagraph"/>
        <w:ind w:left="567" w:hanging="567"/>
        <w:jc w:val="both"/>
        <w:rPr>
          <w:sz w:val="24"/>
          <w:szCs w:val="24"/>
        </w:rPr>
      </w:pPr>
      <w:r>
        <w:rPr>
          <w:sz w:val="24"/>
          <w:szCs w:val="24"/>
        </w:rPr>
        <w:t>3.2.25. un 3.2.37. apvienot, tekstu izsakot šādi:</w:t>
      </w:r>
    </w:p>
    <w:p w:rsidR="000B06E7" w:rsidRDefault="000B06E7" w:rsidP="000B06E7">
      <w:pPr>
        <w:pStyle w:val="ListParagraph"/>
        <w:ind w:left="567" w:hanging="567"/>
        <w:jc w:val="both"/>
        <w:rPr>
          <w:sz w:val="24"/>
          <w:szCs w:val="24"/>
        </w:rPr>
      </w:pPr>
      <w:r>
        <w:rPr>
          <w:sz w:val="24"/>
          <w:szCs w:val="24"/>
        </w:rPr>
        <w:tab/>
        <w:t>Moli un viļņlauži, kas aizsargā ostas iekšējo akvatoriju no atklātās jūras iedarbes;</w:t>
      </w:r>
    </w:p>
    <w:p w:rsidR="000B06E7" w:rsidRDefault="000B06E7" w:rsidP="000B06E7">
      <w:pPr>
        <w:pStyle w:val="ListParagraph"/>
        <w:ind w:left="567" w:hanging="567"/>
        <w:jc w:val="both"/>
        <w:rPr>
          <w:sz w:val="24"/>
          <w:szCs w:val="24"/>
        </w:rPr>
      </w:pPr>
      <w:r>
        <w:rPr>
          <w:sz w:val="24"/>
          <w:szCs w:val="24"/>
        </w:rPr>
        <w:t>3.2.32. un 3.2.33. apvienot, tekstu izsakot šādi:</w:t>
      </w:r>
    </w:p>
    <w:p w:rsidR="000B06E7" w:rsidRDefault="000B06E7" w:rsidP="000B06E7">
      <w:pPr>
        <w:pStyle w:val="ListParagraph"/>
        <w:ind w:left="567" w:hanging="567"/>
        <w:jc w:val="both"/>
        <w:rPr>
          <w:sz w:val="24"/>
          <w:szCs w:val="24"/>
        </w:rPr>
      </w:pPr>
      <w:r>
        <w:rPr>
          <w:sz w:val="24"/>
          <w:szCs w:val="24"/>
        </w:rPr>
        <w:tab/>
        <w:t xml:space="preserve">Ūdens resursu izmantošanas hidrotehniskā būve, ja hidroelektrostacijas projektētā jauda lielāka par 2 </w:t>
      </w:r>
      <w:r>
        <w:rPr>
          <w:i/>
          <w:sz w:val="24"/>
          <w:szCs w:val="24"/>
        </w:rPr>
        <w:t>MW</w:t>
      </w:r>
      <w:r>
        <w:rPr>
          <w:sz w:val="24"/>
          <w:szCs w:val="24"/>
        </w:rPr>
        <w:t>, un sūkņu stacijas projektētais ražīgums lielāks par 5 m</w:t>
      </w:r>
      <w:r>
        <w:rPr>
          <w:sz w:val="24"/>
          <w:szCs w:val="24"/>
          <w:vertAlign w:val="superscript"/>
        </w:rPr>
        <w:t>3</w:t>
      </w:r>
      <w:r>
        <w:rPr>
          <w:sz w:val="24"/>
          <w:szCs w:val="24"/>
        </w:rPr>
        <w:t>/s.</w:t>
      </w:r>
    </w:p>
    <w:p w:rsidR="000B06E7" w:rsidRDefault="000B06E7" w:rsidP="000B06E7">
      <w:pPr>
        <w:pStyle w:val="ListParagraph"/>
        <w:ind w:left="567" w:hanging="567"/>
        <w:jc w:val="both"/>
        <w:rPr>
          <w:sz w:val="24"/>
          <w:szCs w:val="24"/>
        </w:rPr>
      </w:pPr>
    </w:p>
    <w:p w:rsidR="000B06E7" w:rsidRDefault="000B06E7" w:rsidP="000B06E7">
      <w:pPr>
        <w:pStyle w:val="ListParagraph"/>
        <w:ind w:left="-709"/>
        <w:jc w:val="both"/>
        <w:rPr>
          <w:sz w:val="24"/>
          <w:szCs w:val="24"/>
        </w:rPr>
      </w:pPr>
      <w:r>
        <w:rPr>
          <w:sz w:val="24"/>
          <w:szCs w:val="24"/>
        </w:rPr>
        <w:t>Ieteiktos grozījumus ievērot arī Anotācijas Citas informācijas tabulas Nr.2:</w:t>
      </w:r>
    </w:p>
    <w:p w:rsidR="000B06E7" w:rsidRDefault="000B06E7" w:rsidP="000B06E7">
      <w:pPr>
        <w:pStyle w:val="ListParagraph"/>
        <w:numPr>
          <w:ilvl w:val="0"/>
          <w:numId w:val="4"/>
        </w:numPr>
        <w:jc w:val="both"/>
        <w:rPr>
          <w:sz w:val="24"/>
          <w:szCs w:val="24"/>
        </w:rPr>
      </w:pPr>
      <w:r>
        <w:rPr>
          <w:sz w:val="24"/>
          <w:szCs w:val="24"/>
        </w:rPr>
        <w:t xml:space="preserve"> MK noteikumu Nr.550 sadaļas 1., 2. un 3.punktos;</w:t>
      </w:r>
    </w:p>
    <w:p w:rsidR="000B06E7" w:rsidRDefault="000B06E7" w:rsidP="000B06E7">
      <w:pPr>
        <w:pStyle w:val="ListParagraph"/>
        <w:numPr>
          <w:ilvl w:val="0"/>
          <w:numId w:val="4"/>
        </w:numPr>
        <w:jc w:val="both"/>
        <w:rPr>
          <w:sz w:val="24"/>
          <w:szCs w:val="24"/>
        </w:rPr>
      </w:pPr>
      <w:r>
        <w:rPr>
          <w:sz w:val="24"/>
          <w:szCs w:val="24"/>
        </w:rPr>
        <w:t>svītrot MK noteikumu Nr.253 sadaļas 17. punktu.</w:t>
      </w:r>
    </w:p>
    <w:p w:rsidR="000B06E7" w:rsidRDefault="000B06E7" w:rsidP="000B06E7">
      <w:pPr>
        <w:ind w:left="4320"/>
        <w:jc w:val="both"/>
        <w:rPr>
          <w:sz w:val="24"/>
          <w:szCs w:val="24"/>
        </w:rPr>
      </w:pPr>
      <w:r>
        <w:rPr>
          <w:sz w:val="24"/>
          <w:szCs w:val="24"/>
        </w:rPr>
        <w:t xml:space="preserve">                                LMB SC vadītājs Juris Kalniņš</w:t>
      </w:r>
    </w:p>
    <w:p w:rsidR="000B06E7" w:rsidRPr="005F6DF6" w:rsidRDefault="000B06E7" w:rsidP="000B06E7">
      <w:pPr>
        <w:rPr>
          <w:sz w:val="24"/>
          <w:szCs w:val="24"/>
        </w:rPr>
      </w:pPr>
      <w:r>
        <w:rPr>
          <w:sz w:val="24"/>
          <w:szCs w:val="24"/>
        </w:rPr>
        <w:t>Tālr.29134805</w:t>
      </w:r>
    </w:p>
    <w:p w:rsidR="000B06E7" w:rsidRDefault="000B06E7" w:rsidP="000B06E7">
      <w:pPr>
        <w:pStyle w:val="ListParagraph"/>
        <w:ind w:left="-709"/>
        <w:jc w:val="both"/>
        <w:rPr>
          <w:sz w:val="24"/>
          <w:szCs w:val="24"/>
        </w:rPr>
      </w:pPr>
    </w:p>
    <w:p w:rsidR="000B06E7" w:rsidRPr="000B06E7" w:rsidRDefault="000B06E7" w:rsidP="000B06E7">
      <w:pPr>
        <w:spacing w:after="0"/>
        <w:rPr>
          <w:rFonts w:asciiTheme="majorHAnsi" w:hAnsiTheme="majorHAnsi" w:cstheme="majorHAnsi"/>
          <w:sz w:val="24"/>
          <w:szCs w:val="24"/>
        </w:rPr>
      </w:pPr>
    </w:p>
    <w:sectPr w:rsidR="000B06E7" w:rsidRPr="000B06E7" w:rsidSect="006C5FB9">
      <w:pgSz w:w="11906" w:h="16838"/>
      <w:pgMar w:top="28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888"/>
    <w:multiLevelType w:val="hybridMultilevel"/>
    <w:tmpl w:val="2A4605CE"/>
    <w:lvl w:ilvl="0" w:tplc="8A2E7830">
      <w:start w:val="21"/>
      <w:numFmt w:val="bullet"/>
      <w:lvlText w:val="-"/>
      <w:lvlJc w:val="left"/>
      <w:pPr>
        <w:ind w:left="364" w:hanging="360"/>
      </w:pPr>
      <w:rPr>
        <w:rFonts w:ascii="Calibri" w:eastAsiaTheme="minorHAnsi" w:hAnsi="Calibri" w:cs="Calibri" w:hint="default"/>
      </w:rPr>
    </w:lvl>
    <w:lvl w:ilvl="1" w:tplc="04260003" w:tentative="1">
      <w:start w:val="1"/>
      <w:numFmt w:val="bullet"/>
      <w:lvlText w:val="o"/>
      <w:lvlJc w:val="left"/>
      <w:pPr>
        <w:ind w:left="1084" w:hanging="360"/>
      </w:pPr>
      <w:rPr>
        <w:rFonts w:ascii="Courier New" w:hAnsi="Courier New" w:cs="Courier New" w:hint="default"/>
      </w:rPr>
    </w:lvl>
    <w:lvl w:ilvl="2" w:tplc="04260005" w:tentative="1">
      <w:start w:val="1"/>
      <w:numFmt w:val="bullet"/>
      <w:lvlText w:val=""/>
      <w:lvlJc w:val="left"/>
      <w:pPr>
        <w:ind w:left="1804" w:hanging="360"/>
      </w:pPr>
      <w:rPr>
        <w:rFonts w:ascii="Wingdings" w:hAnsi="Wingdings" w:hint="default"/>
      </w:rPr>
    </w:lvl>
    <w:lvl w:ilvl="3" w:tplc="04260001" w:tentative="1">
      <w:start w:val="1"/>
      <w:numFmt w:val="bullet"/>
      <w:lvlText w:val=""/>
      <w:lvlJc w:val="left"/>
      <w:pPr>
        <w:ind w:left="2524" w:hanging="360"/>
      </w:pPr>
      <w:rPr>
        <w:rFonts w:ascii="Symbol" w:hAnsi="Symbol" w:hint="default"/>
      </w:rPr>
    </w:lvl>
    <w:lvl w:ilvl="4" w:tplc="04260003" w:tentative="1">
      <w:start w:val="1"/>
      <w:numFmt w:val="bullet"/>
      <w:lvlText w:val="o"/>
      <w:lvlJc w:val="left"/>
      <w:pPr>
        <w:ind w:left="3244" w:hanging="360"/>
      </w:pPr>
      <w:rPr>
        <w:rFonts w:ascii="Courier New" w:hAnsi="Courier New" w:cs="Courier New" w:hint="default"/>
      </w:rPr>
    </w:lvl>
    <w:lvl w:ilvl="5" w:tplc="04260005" w:tentative="1">
      <w:start w:val="1"/>
      <w:numFmt w:val="bullet"/>
      <w:lvlText w:val=""/>
      <w:lvlJc w:val="left"/>
      <w:pPr>
        <w:ind w:left="3964" w:hanging="360"/>
      </w:pPr>
      <w:rPr>
        <w:rFonts w:ascii="Wingdings" w:hAnsi="Wingdings" w:hint="default"/>
      </w:rPr>
    </w:lvl>
    <w:lvl w:ilvl="6" w:tplc="04260001" w:tentative="1">
      <w:start w:val="1"/>
      <w:numFmt w:val="bullet"/>
      <w:lvlText w:val=""/>
      <w:lvlJc w:val="left"/>
      <w:pPr>
        <w:ind w:left="4684" w:hanging="360"/>
      </w:pPr>
      <w:rPr>
        <w:rFonts w:ascii="Symbol" w:hAnsi="Symbol" w:hint="default"/>
      </w:rPr>
    </w:lvl>
    <w:lvl w:ilvl="7" w:tplc="04260003" w:tentative="1">
      <w:start w:val="1"/>
      <w:numFmt w:val="bullet"/>
      <w:lvlText w:val="o"/>
      <w:lvlJc w:val="left"/>
      <w:pPr>
        <w:ind w:left="5404" w:hanging="360"/>
      </w:pPr>
      <w:rPr>
        <w:rFonts w:ascii="Courier New" w:hAnsi="Courier New" w:cs="Courier New" w:hint="default"/>
      </w:rPr>
    </w:lvl>
    <w:lvl w:ilvl="8" w:tplc="04260005" w:tentative="1">
      <w:start w:val="1"/>
      <w:numFmt w:val="bullet"/>
      <w:lvlText w:val=""/>
      <w:lvlJc w:val="left"/>
      <w:pPr>
        <w:ind w:left="6124" w:hanging="360"/>
      </w:pPr>
      <w:rPr>
        <w:rFonts w:ascii="Wingdings" w:hAnsi="Wingdings" w:hint="default"/>
      </w:rPr>
    </w:lvl>
  </w:abstractNum>
  <w:abstractNum w:abstractNumId="1" w15:restartNumberingAfterBreak="0">
    <w:nsid w:val="4A9A4031"/>
    <w:multiLevelType w:val="hybridMultilevel"/>
    <w:tmpl w:val="7952DE84"/>
    <w:lvl w:ilvl="0" w:tplc="22126920">
      <w:start w:val="1"/>
      <w:numFmt w:val="decimal"/>
      <w:lvlText w:val="%1."/>
      <w:lvlJc w:val="left"/>
      <w:pPr>
        <w:ind w:left="-207" w:hanging="360"/>
      </w:pPr>
      <w:rPr>
        <w:rFonts w:hint="default"/>
        <w:i w:val="0"/>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 w15:restartNumberingAfterBreak="0">
    <w:nsid w:val="519D3C0C"/>
    <w:multiLevelType w:val="hybridMultilevel"/>
    <w:tmpl w:val="A6CC63AE"/>
    <w:lvl w:ilvl="0" w:tplc="7E1A51A6">
      <w:start w:val="3"/>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B846ABD"/>
    <w:multiLevelType w:val="hybridMultilevel"/>
    <w:tmpl w:val="A8A668BC"/>
    <w:lvl w:ilvl="0" w:tplc="AC3E35BA">
      <w:start w:val="21"/>
      <w:numFmt w:val="bullet"/>
      <w:lvlText w:val="-"/>
      <w:lvlJc w:val="left"/>
      <w:pPr>
        <w:ind w:left="1084" w:hanging="360"/>
      </w:pPr>
      <w:rPr>
        <w:rFonts w:ascii="Calibri" w:eastAsiaTheme="minorHAnsi" w:hAnsi="Calibri" w:cs="Calibri"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FD"/>
    <w:rsid w:val="0007190D"/>
    <w:rsid w:val="000B06E7"/>
    <w:rsid w:val="000C302B"/>
    <w:rsid w:val="001001B9"/>
    <w:rsid w:val="0012219F"/>
    <w:rsid w:val="001C3E39"/>
    <w:rsid w:val="0021484D"/>
    <w:rsid w:val="002A21FE"/>
    <w:rsid w:val="002C2260"/>
    <w:rsid w:val="002D0E66"/>
    <w:rsid w:val="00360E51"/>
    <w:rsid w:val="00384394"/>
    <w:rsid w:val="003D2AF5"/>
    <w:rsid w:val="004531FD"/>
    <w:rsid w:val="00525C8B"/>
    <w:rsid w:val="006C5FB9"/>
    <w:rsid w:val="009978B2"/>
    <w:rsid w:val="00BA3867"/>
    <w:rsid w:val="00C232B2"/>
    <w:rsid w:val="00DD223B"/>
    <w:rsid w:val="00F16628"/>
    <w:rsid w:val="00F41989"/>
    <w:rsid w:val="00FD2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34AF"/>
  <w15:chartTrackingRefBased/>
  <w15:docId w15:val="{2960FEF9-DC1C-48D9-A589-E41AEEA5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B9"/>
    <w:rPr>
      <w:rFonts w:ascii="Segoe UI" w:hAnsi="Segoe UI" w:cs="Segoe UI"/>
      <w:sz w:val="18"/>
      <w:szCs w:val="18"/>
    </w:rPr>
  </w:style>
  <w:style w:type="paragraph" w:styleId="ListParagraph">
    <w:name w:val="List Paragraph"/>
    <w:basedOn w:val="Normal"/>
    <w:uiPriority w:val="34"/>
    <w:qFormat/>
    <w:rsid w:val="002D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85A1-EFAA-4F41-B0AE-E0737629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3357</Words>
  <Characters>1914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Kalniņš Juris Kalniņš</cp:lastModifiedBy>
  <cp:revision>4</cp:revision>
  <cp:lastPrinted>2020-04-07T14:50:00Z</cp:lastPrinted>
  <dcterms:created xsi:type="dcterms:W3CDTF">2020-11-06T09:34:00Z</dcterms:created>
  <dcterms:modified xsi:type="dcterms:W3CDTF">2020-11-06T09:42:00Z</dcterms:modified>
</cp:coreProperties>
</file>