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7208" w14:textId="77777777" w:rsidR="00E5653E" w:rsidRPr="00465C0D" w:rsidRDefault="00E5653E" w:rsidP="00337F53">
      <w:pPr>
        <w:rPr>
          <w:szCs w:val="24"/>
          <w:lang w:val="lv-LV"/>
        </w:rPr>
      </w:pPr>
    </w:p>
    <w:tbl>
      <w:tblPr>
        <w:tblW w:w="6804" w:type="dxa"/>
        <w:tblLayout w:type="fixed"/>
        <w:tblCellMar>
          <w:left w:w="28" w:type="dxa"/>
          <w:right w:w="28" w:type="dxa"/>
        </w:tblCellMar>
        <w:tblLook w:val="04A0" w:firstRow="1" w:lastRow="0" w:firstColumn="1" w:lastColumn="0" w:noHBand="0" w:noVBand="1"/>
      </w:tblPr>
      <w:tblGrid>
        <w:gridCol w:w="453"/>
        <w:gridCol w:w="2949"/>
        <w:gridCol w:w="566"/>
        <w:gridCol w:w="2836"/>
      </w:tblGrid>
      <w:tr w:rsidR="009E0F07" w14:paraId="643FF7F3" w14:textId="77777777" w:rsidTr="00931E82">
        <w:trPr>
          <w:cantSplit/>
          <w:trHeight w:hRule="exact" w:val="397"/>
        </w:trPr>
        <w:tc>
          <w:tcPr>
            <w:tcW w:w="3402" w:type="dxa"/>
            <w:gridSpan w:val="2"/>
            <w:tcBorders>
              <w:top w:val="nil"/>
              <w:left w:val="nil"/>
              <w:bottom w:val="single" w:sz="4" w:space="0" w:color="auto"/>
              <w:right w:val="nil"/>
            </w:tcBorders>
            <w:hideMark/>
          </w:tcPr>
          <w:p w14:paraId="0CB1880F" w14:textId="77777777" w:rsidR="005C7AB7" w:rsidRPr="00465C0D" w:rsidRDefault="00E976DF" w:rsidP="005C7AB7">
            <w:pPr>
              <w:pStyle w:val="NoSpacing"/>
              <w:rPr>
                <w:lang w:val="lv-LV"/>
              </w:rPr>
            </w:pPr>
            <w:r w:rsidRPr="00465C0D">
              <w:rPr>
                <w:noProof/>
                <w:lang w:val="lv-LV"/>
              </w:rPr>
              <w:t>Datums skatāms laika zīmogā</w:t>
            </w:r>
          </w:p>
        </w:tc>
        <w:tc>
          <w:tcPr>
            <w:tcW w:w="566" w:type="dxa"/>
            <w:hideMark/>
          </w:tcPr>
          <w:p w14:paraId="11BD5156" w14:textId="77777777" w:rsidR="005C7AB7" w:rsidRPr="00465C0D" w:rsidRDefault="00E976DF" w:rsidP="005C7AB7">
            <w:pPr>
              <w:pStyle w:val="NoSpacing"/>
              <w:rPr>
                <w:lang w:val="lv-LV"/>
              </w:rPr>
            </w:pPr>
            <w:r w:rsidRPr="00465C0D">
              <w:rPr>
                <w:lang w:val="lv-LV"/>
              </w:rPr>
              <w:t xml:space="preserve"> Nr.</w:t>
            </w:r>
          </w:p>
        </w:tc>
        <w:tc>
          <w:tcPr>
            <w:tcW w:w="2836" w:type="dxa"/>
            <w:tcBorders>
              <w:top w:val="nil"/>
              <w:left w:val="nil"/>
              <w:bottom w:val="single" w:sz="4" w:space="0" w:color="auto"/>
              <w:right w:val="nil"/>
            </w:tcBorders>
            <w:hideMark/>
          </w:tcPr>
          <w:p w14:paraId="26E61853" w14:textId="77777777" w:rsidR="005C7AB7" w:rsidRPr="00465C0D" w:rsidRDefault="00E976DF" w:rsidP="005C7AB7">
            <w:pPr>
              <w:pStyle w:val="NoSpacing"/>
              <w:rPr>
                <w:lang w:val="lv-LV"/>
              </w:rPr>
            </w:pPr>
            <w:r w:rsidRPr="00465C0D">
              <w:rPr>
                <w:noProof/>
                <w:lang w:val="lv-LV"/>
              </w:rPr>
              <w:t>3.4-11e/1754/2022</w:t>
            </w:r>
          </w:p>
        </w:tc>
      </w:tr>
      <w:tr w:rsidR="009E0F07" w14:paraId="21314FB1" w14:textId="77777777" w:rsidTr="00931E82">
        <w:trPr>
          <w:cantSplit/>
          <w:trHeight w:hRule="exact" w:val="397"/>
        </w:trPr>
        <w:tc>
          <w:tcPr>
            <w:tcW w:w="453" w:type="dxa"/>
            <w:hideMark/>
          </w:tcPr>
          <w:p w14:paraId="05181047" w14:textId="77777777" w:rsidR="005C7AB7" w:rsidRPr="00465C0D" w:rsidRDefault="00E976DF" w:rsidP="005C7AB7">
            <w:pPr>
              <w:pStyle w:val="NoSpacing"/>
              <w:rPr>
                <w:lang w:val="lv-LV"/>
              </w:rPr>
            </w:pPr>
            <w:r w:rsidRPr="00465C0D">
              <w:rPr>
                <w:lang w:val="lv-LV"/>
              </w:rPr>
              <w:t>Uz</w:t>
            </w:r>
          </w:p>
        </w:tc>
        <w:tc>
          <w:tcPr>
            <w:tcW w:w="2949" w:type="dxa"/>
            <w:tcBorders>
              <w:top w:val="nil"/>
              <w:left w:val="nil"/>
              <w:bottom w:val="single" w:sz="4" w:space="0" w:color="auto"/>
              <w:right w:val="nil"/>
            </w:tcBorders>
          </w:tcPr>
          <w:p w14:paraId="073535F5" w14:textId="77777777" w:rsidR="005C7AB7" w:rsidRPr="00465C0D" w:rsidRDefault="00E976DF" w:rsidP="005C7AB7">
            <w:pPr>
              <w:pStyle w:val="NoSpacing"/>
              <w:rPr>
                <w:lang w:val="lv-LV"/>
              </w:rPr>
            </w:pPr>
            <w:r>
              <w:rPr>
                <w:lang w:val="lv-LV"/>
              </w:rPr>
              <w:t>07.10.2022.</w:t>
            </w:r>
          </w:p>
        </w:tc>
        <w:tc>
          <w:tcPr>
            <w:tcW w:w="566" w:type="dxa"/>
            <w:hideMark/>
          </w:tcPr>
          <w:p w14:paraId="1F63BA65" w14:textId="77777777" w:rsidR="005C7AB7" w:rsidRPr="00465C0D" w:rsidRDefault="00E976DF" w:rsidP="005C7AB7">
            <w:pPr>
              <w:pStyle w:val="NoSpacing"/>
              <w:rPr>
                <w:lang w:val="lv-LV"/>
              </w:rPr>
            </w:pPr>
            <w:r w:rsidRPr="00465C0D">
              <w:rPr>
                <w:lang w:val="lv-LV"/>
              </w:rPr>
              <w:t xml:space="preserve"> Nr.</w:t>
            </w:r>
          </w:p>
        </w:tc>
        <w:tc>
          <w:tcPr>
            <w:tcW w:w="2836" w:type="dxa"/>
            <w:tcBorders>
              <w:top w:val="nil"/>
              <w:left w:val="nil"/>
              <w:bottom w:val="single" w:sz="4" w:space="0" w:color="auto"/>
              <w:right w:val="nil"/>
            </w:tcBorders>
          </w:tcPr>
          <w:p w14:paraId="4FF2659E" w14:textId="77777777" w:rsidR="005C7AB7" w:rsidRPr="00465C0D" w:rsidRDefault="00E976DF" w:rsidP="005C7AB7">
            <w:pPr>
              <w:pStyle w:val="NoSpacing"/>
              <w:rPr>
                <w:lang w:val="lv-LV"/>
              </w:rPr>
            </w:pPr>
            <w:r>
              <w:rPr>
                <w:lang w:val="lv-LV"/>
              </w:rPr>
              <w:t>2</w:t>
            </w:r>
          </w:p>
        </w:tc>
      </w:tr>
    </w:tbl>
    <w:p w14:paraId="7BCB055A" w14:textId="77777777" w:rsidR="00293FD7" w:rsidRPr="00465C0D" w:rsidRDefault="00293FD7" w:rsidP="00A64F60">
      <w:pPr>
        <w:ind w:firstLine="0"/>
        <w:rPr>
          <w:lang w:val="lv-LV"/>
        </w:rPr>
      </w:pPr>
    </w:p>
    <w:p w14:paraId="3699358C" w14:textId="77777777" w:rsidR="00AF43DB" w:rsidRPr="00465C0D" w:rsidRDefault="00E976DF" w:rsidP="00AC5C20">
      <w:pPr>
        <w:jc w:val="right"/>
        <w:rPr>
          <w:lang w:val="lv-LV"/>
        </w:rPr>
      </w:pPr>
      <w:r w:rsidRPr="00465C0D">
        <w:rPr>
          <w:noProof/>
          <w:lang w:val="lv-LV"/>
        </w:rPr>
        <w:t>Latvijas Melioratoru biedrība</w:t>
      </w:r>
      <w:r w:rsidR="00AA55F8">
        <w:rPr>
          <w:noProof/>
          <w:lang w:val="lv-LV"/>
        </w:rPr>
        <w:t>i</w:t>
      </w:r>
    </w:p>
    <w:p w14:paraId="2EA80C69" w14:textId="77777777" w:rsidR="00465C0D" w:rsidRPr="00465C0D" w:rsidRDefault="00465C0D" w:rsidP="00465C0D">
      <w:pPr>
        <w:pStyle w:val="NoSpacing"/>
        <w:jc w:val="right"/>
        <w:rPr>
          <w:szCs w:val="24"/>
          <w:lang w:val="lv-LV"/>
        </w:rPr>
      </w:pPr>
    </w:p>
    <w:p w14:paraId="7FF0D5BB" w14:textId="77777777" w:rsidR="00465C0D" w:rsidRPr="00465C0D" w:rsidRDefault="00E976DF" w:rsidP="00465C0D">
      <w:pPr>
        <w:pStyle w:val="NoSpacing"/>
        <w:rPr>
          <w:szCs w:val="24"/>
          <w:lang w:val="lv-LV"/>
        </w:rPr>
      </w:pPr>
      <w:r w:rsidRPr="00465C0D">
        <w:rPr>
          <w:szCs w:val="24"/>
          <w:lang w:val="lv-LV"/>
        </w:rPr>
        <w:t>Par Meliorācijas likuma grozījumiem</w:t>
      </w:r>
    </w:p>
    <w:p w14:paraId="554472F9" w14:textId="77777777" w:rsidR="00465C0D" w:rsidRPr="00465C0D" w:rsidRDefault="00465C0D" w:rsidP="00465C0D">
      <w:pPr>
        <w:rPr>
          <w:szCs w:val="24"/>
          <w:lang w:val="lv-LV"/>
        </w:rPr>
      </w:pPr>
    </w:p>
    <w:p w14:paraId="3DFBA707" w14:textId="77777777" w:rsidR="00465C0D" w:rsidRPr="00465C0D" w:rsidRDefault="00E976DF" w:rsidP="00465C0D">
      <w:pPr>
        <w:pStyle w:val="NoSpacing"/>
        <w:rPr>
          <w:szCs w:val="24"/>
          <w:lang w:val="lv-LV"/>
        </w:rPr>
      </w:pPr>
      <w:r w:rsidRPr="00465C0D">
        <w:rPr>
          <w:szCs w:val="24"/>
          <w:lang w:val="lv-LV"/>
        </w:rPr>
        <w:t>Zemkopības ministrija 2022.gada 7.oktobrī ir saņēmusi Jūsu iesniegumu Nr.2, kurā ir iesniegti iebildumi likumprojektā “Meliorācijas likuma grozījumi” (turpmāk-Likumprojekts).</w:t>
      </w:r>
    </w:p>
    <w:p w14:paraId="7A4398F2" w14:textId="77777777" w:rsidR="00465C0D" w:rsidRPr="00465C0D" w:rsidRDefault="00E976DF" w:rsidP="00465C0D">
      <w:pPr>
        <w:pStyle w:val="NoSpacing"/>
        <w:rPr>
          <w:szCs w:val="24"/>
          <w:lang w:val="lv-LV"/>
        </w:rPr>
      </w:pPr>
      <w:r w:rsidRPr="00465C0D">
        <w:rPr>
          <w:szCs w:val="24"/>
          <w:lang w:val="lv-LV"/>
        </w:rPr>
        <w:t>Zemkopības ministrija iepazinās un izvērtēja Jūsu priekšlikumus Likumprojektā un daļēji ņēma vērā Jūsu iebildumus.</w:t>
      </w:r>
    </w:p>
    <w:p w14:paraId="0E4F8137" w14:textId="77777777" w:rsidR="00465C0D" w:rsidRPr="00465C0D" w:rsidRDefault="00E976DF" w:rsidP="00465C0D">
      <w:pPr>
        <w:pStyle w:val="NoSpacing"/>
        <w:rPr>
          <w:szCs w:val="24"/>
          <w:lang w:val="lv-LV"/>
        </w:rPr>
      </w:pPr>
      <w:r w:rsidRPr="00465C0D">
        <w:rPr>
          <w:szCs w:val="24"/>
          <w:lang w:val="lv-LV"/>
        </w:rPr>
        <w:t>Likumprojekta izstrāde ilga divus gadus un sabiedriskās organizācijas varēja izteikt savus iebildumus par Likumprojektu normatīvajos aktos noteiktajā kārtībā.</w:t>
      </w:r>
    </w:p>
    <w:p w14:paraId="1B1CD3DB" w14:textId="77777777" w:rsidR="00465C0D" w:rsidRPr="00465C0D" w:rsidRDefault="00E976DF" w:rsidP="00465C0D">
      <w:pPr>
        <w:pStyle w:val="NoSpacing"/>
        <w:ind w:firstLine="720"/>
        <w:rPr>
          <w:szCs w:val="24"/>
          <w:lang w:val="lv-LV"/>
        </w:rPr>
      </w:pPr>
      <w:r w:rsidRPr="00465C0D">
        <w:rPr>
          <w:szCs w:val="24"/>
          <w:lang w:val="lv-LV"/>
        </w:rPr>
        <w:t>1.Biedrībai bija iebildums par terminu “meliorācija”, norādot, ka terminoloģija ir kļūdaina, jo meliorāciju definējot kā pasākumu kompleksu, kas maina augsnes hidroģeoloģiskos un hidroloģiskos apstākļus, tiek sašaurināta meliorācijas nozīme attiecībā uz pilsētām u.c. apdzīvotām vietām, uz infrastruktūru un teritoriju aizsardzību pret applūšanu.</w:t>
      </w:r>
    </w:p>
    <w:p w14:paraId="3BF826DD" w14:textId="77777777" w:rsidR="00465C0D" w:rsidRPr="00465C0D" w:rsidRDefault="00E976DF" w:rsidP="00465C0D">
      <w:pPr>
        <w:pStyle w:val="NoSpacing"/>
        <w:rPr>
          <w:szCs w:val="24"/>
          <w:lang w:val="lv-LV"/>
        </w:rPr>
      </w:pPr>
      <w:bookmarkStart w:id="0" w:name="_Hlk117760700"/>
      <w:r w:rsidRPr="00465C0D">
        <w:rPr>
          <w:szCs w:val="24"/>
          <w:lang w:val="lv-LV"/>
        </w:rPr>
        <w:t xml:space="preserve">Zemkopības ministrija ņēma vērā Jūsu iebildumu </w:t>
      </w:r>
      <w:bookmarkEnd w:id="0"/>
      <w:r w:rsidRPr="00465C0D">
        <w:rPr>
          <w:szCs w:val="24"/>
          <w:lang w:val="lv-LV"/>
        </w:rPr>
        <w:t>un iesniedza Saeimas Tautsaimniecības, agrārās, vides un reģionālās politikas komisijā uz 2.lasījumu (turpmāk-Komisijā) ministrijas iebildumus.</w:t>
      </w:r>
    </w:p>
    <w:p w14:paraId="39F7CFDE" w14:textId="77777777" w:rsidR="00465C0D" w:rsidRPr="00465C0D" w:rsidRDefault="00E976DF" w:rsidP="00465C0D">
      <w:pPr>
        <w:pStyle w:val="NoSpacing"/>
        <w:jc w:val="left"/>
        <w:rPr>
          <w:szCs w:val="24"/>
          <w:lang w:val="lv-LV"/>
        </w:rPr>
      </w:pPr>
      <w:r w:rsidRPr="00465C0D">
        <w:rPr>
          <w:szCs w:val="24"/>
          <w:lang w:val="lv-LV"/>
        </w:rPr>
        <w:t>Tagad Meliorācijas likumā 1. panta 1. punkts ir izteikts šādā redakcijā:</w:t>
      </w:r>
    </w:p>
    <w:p w14:paraId="72EE3A7B" w14:textId="77777777" w:rsidR="00465C0D" w:rsidRPr="00465C0D" w:rsidRDefault="00E976DF" w:rsidP="00465C0D">
      <w:pPr>
        <w:pStyle w:val="NoSpacing"/>
        <w:widowControl/>
        <w:numPr>
          <w:ilvl w:val="0"/>
          <w:numId w:val="12"/>
        </w:numPr>
        <w:jc w:val="left"/>
        <w:rPr>
          <w:szCs w:val="24"/>
          <w:lang w:val="lv-LV"/>
        </w:rPr>
      </w:pPr>
      <w:r w:rsidRPr="00465C0D">
        <w:rPr>
          <w:szCs w:val="24"/>
          <w:lang w:val="lv-LV"/>
        </w:rPr>
        <w:t>“meliorācija — zemes uzlabošanas pasākumu kopums, kas mazina klimatisko apstākļu nelabvēlīgo ietekmi un konkrētā teritorijā maina grunts hidroloģiskos apstākļus, kā arī nodrošina infrastruktūras un teritoriju aizsardzību pret applūšanu;”</w:t>
      </w:r>
    </w:p>
    <w:p w14:paraId="384681C9" w14:textId="77777777" w:rsidR="00465C0D" w:rsidRPr="00465C0D" w:rsidRDefault="00E976DF" w:rsidP="00465C0D">
      <w:pPr>
        <w:pStyle w:val="NoSpacing"/>
        <w:ind w:firstLine="360"/>
        <w:rPr>
          <w:szCs w:val="24"/>
          <w:lang w:val="lv-LV"/>
        </w:rPr>
      </w:pPr>
      <w:r w:rsidRPr="00465C0D">
        <w:rPr>
          <w:szCs w:val="24"/>
          <w:lang w:val="lv-LV"/>
        </w:rPr>
        <w:t xml:space="preserve">2.Biedrībai bija iebildums par terminu “meliorācijas sistēmas”, norādot meliorācijas sistēmas definējumā nebūtu nosakāms būvju veids atkarībā no to esamības meliorācijas kadastrā. </w:t>
      </w:r>
    </w:p>
    <w:p w14:paraId="03EDD4AA" w14:textId="77777777" w:rsidR="00465C0D" w:rsidRPr="00465C0D" w:rsidRDefault="00E976DF" w:rsidP="00465C0D">
      <w:pPr>
        <w:pStyle w:val="NoSpacing"/>
        <w:ind w:firstLine="360"/>
        <w:rPr>
          <w:szCs w:val="24"/>
          <w:lang w:val="lv-LV"/>
        </w:rPr>
      </w:pPr>
      <w:r w:rsidRPr="00465C0D">
        <w:rPr>
          <w:szCs w:val="24"/>
          <w:lang w:val="lv-LV"/>
        </w:rPr>
        <w:t>Zemkopības ministrija izdarīja grozījumus terminā “meliorācijas sistēmas”,, bet tomēr saglabāja prasību, ka meliorācijas sistēmai ir obligāti jābūt reģistrētai Meliorācijas kadastrā.</w:t>
      </w:r>
    </w:p>
    <w:p w14:paraId="56042CA9" w14:textId="77777777" w:rsidR="00465C0D" w:rsidRPr="00465C0D" w:rsidRDefault="00E976DF" w:rsidP="00465C0D">
      <w:pPr>
        <w:pStyle w:val="NoSpacing"/>
        <w:rPr>
          <w:szCs w:val="24"/>
          <w:lang w:val="lv-LV"/>
        </w:rPr>
      </w:pPr>
      <w:r w:rsidRPr="00465C0D">
        <w:rPr>
          <w:szCs w:val="24"/>
          <w:lang w:val="lv-LV"/>
        </w:rPr>
        <w:tab/>
        <w:t>Saskaņā ar likuma “Par nekustamā īpašuma ierakstīšanu zemesgrāmatās” zemesgrāmatās ierakstāma fizisko un juridisko personu atgūtā un privatizētā zeme, valsts un pašvaldību zeme, kā arī dzīvokļi un ēkas (būves), kas atrodas uz šīs zemes vai zemē. Iepriekš minētā likuma 3.pants. nosaka, ka nekustamais īpašums zemesgrāmatā ierakstāms, pamatojoties uz dokumentu, kas apliecina nekustamā īpašuma tiesisku iegūšanu.</w:t>
      </w:r>
    </w:p>
    <w:p w14:paraId="7932445B" w14:textId="77777777" w:rsidR="00465C0D" w:rsidRPr="00465C0D" w:rsidRDefault="00E976DF" w:rsidP="00465C0D">
      <w:pPr>
        <w:pStyle w:val="NoSpacing"/>
        <w:rPr>
          <w:szCs w:val="24"/>
          <w:lang w:val="lv-LV"/>
        </w:rPr>
      </w:pPr>
      <w:r w:rsidRPr="00465C0D">
        <w:rPr>
          <w:szCs w:val="24"/>
          <w:lang w:val="lv-LV"/>
        </w:rPr>
        <w:tab/>
        <w:t>Latvijā informācijas sistēmās reģistrē ne tikai nekustamās lietas, bet arī kustamās lietas, piemēram, transportlīdzekļus.</w:t>
      </w:r>
    </w:p>
    <w:p w14:paraId="187545A8" w14:textId="77777777" w:rsidR="00465C0D" w:rsidRPr="00465C0D" w:rsidRDefault="00E976DF" w:rsidP="00465C0D">
      <w:pPr>
        <w:pStyle w:val="NoSpacing"/>
        <w:ind w:firstLine="720"/>
        <w:rPr>
          <w:szCs w:val="24"/>
          <w:lang w:val="lv-LV"/>
        </w:rPr>
      </w:pPr>
      <w:r w:rsidRPr="00465C0D">
        <w:rPr>
          <w:szCs w:val="24"/>
          <w:lang w:val="lv-LV"/>
        </w:rPr>
        <w:t>Saskaņā ar Ministru kabineta 2012.gada 10.aprīļa noteikumiem Nr.263 “Kadastra objekta reģistrācijas un kadastra datu aktualizācijas noteikumi” (turpmāk-Noteikumi Nr.263) Latvijā visas būves ir reģistrējamas Nekustamā īpašuma valsts kadastra informācijas sistēmā (turpmāk-Kadastra informācijas sistēma). Tajā skaitā Kadastra informācijas sistēma reģistrējamas arī inženierbūves.</w:t>
      </w:r>
    </w:p>
    <w:p w14:paraId="65FDF567" w14:textId="77777777" w:rsidR="00465C0D" w:rsidRPr="00465C0D" w:rsidRDefault="00E976DF" w:rsidP="00465C0D">
      <w:pPr>
        <w:pStyle w:val="NoSpacing"/>
        <w:ind w:firstLine="720"/>
        <w:rPr>
          <w:szCs w:val="24"/>
          <w:lang w:val="lv-LV"/>
        </w:rPr>
      </w:pPr>
      <w:r w:rsidRPr="00465C0D">
        <w:rPr>
          <w:szCs w:val="24"/>
          <w:lang w:val="lv-LV"/>
        </w:rPr>
        <w:t>Saskaņā ar Noteikumi Nr.263 71.5. apakšpunktu kadastra datus par zemes vienību Kadastra informācijas sistēmā aktualizē, pamatojoties uz</w:t>
      </w:r>
      <w:r w:rsidRPr="00465C0D">
        <w:rPr>
          <w:lang w:val="lv-LV"/>
        </w:rPr>
        <w:t xml:space="preserve"> </w:t>
      </w:r>
      <w:r w:rsidRPr="00465C0D">
        <w:rPr>
          <w:szCs w:val="24"/>
          <w:lang w:val="lv-LV"/>
        </w:rPr>
        <w:t xml:space="preserve">kompetentās institūcijas izsniegtu dokumentu, kas </w:t>
      </w:r>
      <w:r w:rsidRPr="00465C0D">
        <w:rPr>
          <w:szCs w:val="24"/>
          <w:lang w:val="lv-LV"/>
        </w:rPr>
        <w:lastRenderedPageBreak/>
        <w:t>apliecina izmaiņas meliorācijas sistēmā, ja nav saņemtas ziņas no Meliorācijas kadastra.</w:t>
      </w:r>
    </w:p>
    <w:p w14:paraId="5ABC532C" w14:textId="77777777" w:rsidR="00465C0D" w:rsidRPr="00465C0D" w:rsidRDefault="00E976DF" w:rsidP="00465C0D">
      <w:pPr>
        <w:pStyle w:val="NoSpacing"/>
        <w:ind w:firstLine="720"/>
        <w:rPr>
          <w:szCs w:val="24"/>
          <w:lang w:val="lv-LV"/>
        </w:rPr>
      </w:pPr>
      <w:r w:rsidRPr="00465C0D">
        <w:rPr>
          <w:szCs w:val="24"/>
          <w:lang w:val="lv-LV"/>
        </w:rPr>
        <w:t>Tātad Kadastra informācijas sistēma izmanto visus datus par meliorācijas sistēmā, kurus var iegūt no kompetentajām institūcijām vai Meliorācijas kadastra.</w:t>
      </w:r>
    </w:p>
    <w:p w14:paraId="05CFA843" w14:textId="77777777" w:rsidR="00465C0D" w:rsidRPr="00465C0D" w:rsidRDefault="00E976DF" w:rsidP="00465C0D">
      <w:pPr>
        <w:pStyle w:val="NoSpacing"/>
        <w:ind w:firstLine="720"/>
        <w:rPr>
          <w:szCs w:val="24"/>
          <w:lang w:val="lv-LV"/>
        </w:rPr>
      </w:pPr>
      <w:r w:rsidRPr="00465C0D">
        <w:rPr>
          <w:szCs w:val="24"/>
          <w:lang w:val="lv-LV"/>
        </w:rPr>
        <w:t xml:space="preserve">Saskaņā ar Noteikumi Nr.263 74.3. apakšpunktu </w:t>
      </w:r>
      <w:bookmarkStart w:id="1" w:name="_Hlk117762203"/>
      <w:r w:rsidRPr="00465C0D">
        <w:rPr>
          <w:szCs w:val="24"/>
          <w:lang w:val="lv-LV"/>
        </w:rPr>
        <w:t xml:space="preserve">Kadastra informācijas sistēmā </w:t>
      </w:r>
      <w:bookmarkEnd w:id="1"/>
      <w:r w:rsidRPr="00465C0D">
        <w:rPr>
          <w:szCs w:val="24"/>
          <w:lang w:val="lv-LV"/>
        </w:rPr>
        <w:t>aktualizē zemes vienības datus atbilstoši Meliorācijas kadastra datiem par lauksaimniecībā izmantojamās zemes kvalitatīvo novērtējumu (ballēs).</w:t>
      </w:r>
    </w:p>
    <w:p w14:paraId="0A76CDB0" w14:textId="77777777" w:rsidR="00465C0D" w:rsidRPr="00465C0D" w:rsidRDefault="00E976DF" w:rsidP="00465C0D">
      <w:pPr>
        <w:pStyle w:val="NoSpacing"/>
        <w:ind w:firstLine="720"/>
        <w:rPr>
          <w:szCs w:val="24"/>
          <w:lang w:val="lv-LV"/>
        </w:rPr>
      </w:pPr>
      <w:r w:rsidRPr="00465C0D">
        <w:rPr>
          <w:szCs w:val="24"/>
          <w:lang w:val="lv-LV"/>
        </w:rPr>
        <w:t>Ja meliorācijas sistēma nav reģistrēta Meliorācijas kadastrā, tad Kadastra informācijas sistēmā dati par zemes kvalitatīvo novērtējumu nav objektīvi.</w:t>
      </w:r>
    </w:p>
    <w:p w14:paraId="0ABD8706" w14:textId="77777777" w:rsidR="00465C0D" w:rsidRPr="00465C0D" w:rsidRDefault="00E976DF" w:rsidP="00465C0D">
      <w:pPr>
        <w:pStyle w:val="NoSpacing"/>
        <w:ind w:firstLine="720"/>
        <w:rPr>
          <w:szCs w:val="24"/>
          <w:lang w:val="lv-LV"/>
        </w:rPr>
      </w:pPr>
      <w:r w:rsidRPr="00465C0D">
        <w:rPr>
          <w:szCs w:val="24"/>
          <w:lang w:val="lv-LV"/>
        </w:rPr>
        <w:t>Arī meliorācijas sistēmu būvniecības procesā, t.sk. projektēšanā ir būtiski zināt visus datus par meliorācijas sistēmas pastāvēšanu, novietojumu un parametriem.</w:t>
      </w:r>
    </w:p>
    <w:p w14:paraId="23F1997E" w14:textId="77777777" w:rsidR="00465C0D" w:rsidRPr="00465C0D" w:rsidRDefault="00E976DF" w:rsidP="00465C0D">
      <w:pPr>
        <w:pStyle w:val="NoSpacing"/>
        <w:ind w:firstLine="720"/>
        <w:rPr>
          <w:szCs w:val="24"/>
          <w:lang w:val="lv-LV"/>
        </w:rPr>
      </w:pPr>
      <w:r w:rsidRPr="00465C0D">
        <w:rPr>
          <w:szCs w:val="24"/>
          <w:lang w:val="lv-LV"/>
        </w:rPr>
        <w:t>Tikai zinot visus datus par meliorācijas sistēmu var attīstīt, pārbūvēt vai atjaunot esošās meliorācijas sistēmas.</w:t>
      </w:r>
    </w:p>
    <w:p w14:paraId="069A45FA" w14:textId="77777777" w:rsidR="00465C0D" w:rsidRPr="00465C0D" w:rsidRDefault="00E976DF" w:rsidP="00465C0D">
      <w:pPr>
        <w:pStyle w:val="NoSpacing"/>
        <w:rPr>
          <w:szCs w:val="24"/>
          <w:lang w:val="lv-LV"/>
        </w:rPr>
      </w:pPr>
      <w:r w:rsidRPr="00465C0D">
        <w:rPr>
          <w:szCs w:val="24"/>
          <w:lang w:val="lv-LV"/>
        </w:rPr>
        <w:t>Kopš zemes reformas sākuma ir pagājuši vairāk nekā 30 gadi un šobrīd būtu nepieciešams sakārtot datus par visām meliorācijas sistēmām.</w:t>
      </w:r>
    </w:p>
    <w:p w14:paraId="677B3B12" w14:textId="77777777" w:rsidR="00465C0D" w:rsidRPr="00465C0D" w:rsidRDefault="00E976DF" w:rsidP="00465C0D">
      <w:pPr>
        <w:pStyle w:val="NoSpacing"/>
        <w:ind w:firstLine="720"/>
        <w:rPr>
          <w:szCs w:val="24"/>
          <w:lang w:val="lv-LV"/>
        </w:rPr>
      </w:pPr>
      <w:r w:rsidRPr="00465C0D">
        <w:rPr>
          <w:szCs w:val="24"/>
          <w:lang w:val="lv-LV"/>
        </w:rPr>
        <w:t>3.Zemkopības ministrija ņēma vērā Jūsu iebildumu par to, ka  meliorācijas sistēmas ir arī polderu sūkņu stacijas, hidromezgli, regulatori un laipas, kuras nav uzskatāmas par “grunts būvēm”.</w:t>
      </w:r>
    </w:p>
    <w:p w14:paraId="7D9604AA" w14:textId="77777777" w:rsidR="00465C0D" w:rsidRPr="00465C0D" w:rsidRDefault="00E976DF" w:rsidP="00465C0D">
      <w:pPr>
        <w:pStyle w:val="NoSpacing"/>
        <w:rPr>
          <w:szCs w:val="24"/>
          <w:lang w:val="lv-LV"/>
        </w:rPr>
      </w:pPr>
      <w:r w:rsidRPr="00465C0D">
        <w:rPr>
          <w:szCs w:val="24"/>
          <w:lang w:val="lv-LV"/>
        </w:rPr>
        <w:t>Tāpēc gala rezultātā pēc Zemkopības ministrijas iebildumiem Meliorācijas likumā 1. panta 2. punkts ir izteikts šādā redakcijā:</w:t>
      </w:r>
    </w:p>
    <w:p w14:paraId="7F3DF9DF" w14:textId="77777777" w:rsidR="00465C0D" w:rsidRPr="00465C0D" w:rsidRDefault="00E976DF" w:rsidP="00465C0D">
      <w:pPr>
        <w:pStyle w:val="NoSpacing"/>
        <w:rPr>
          <w:szCs w:val="24"/>
          <w:lang w:val="lv-LV"/>
        </w:rPr>
      </w:pPr>
      <w:r w:rsidRPr="00465C0D">
        <w:rPr>
          <w:szCs w:val="24"/>
          <w:lang w:val="lv-LV"/>
        </w:rPr>
        <w:t>“meliorācijas sistēma — meliorācijas kadastrā reģistrēts būvju un ierīču kopums zemes ūdens režīma regulēšanai noteiktā platībā”.</w:t>
      </w:r>
    </w:p>
    <w:p w14:paraId="07A7D3A1" w14:textId="77777777" w:rsidR="00465C0D" w:rsidRPr="00465C0D" w:rsidRDefault="00E976DF" w:rsidP="00465C0D">
      <w:pPr>
        <w:pStyle w:val="NoSpacing"/>
        <w:rPr>
          <w:szCs w:val="24"/>
          <w:lang w:val="lv-LV"/>
        </w:rPr>
      </w:pPr>
      <w:r w:rsidRPr="00465C0D">
        <w:rPr>
          <w:szCs w:val="24"/>
          <w:lang w:val="lv-LV"/>
        </w:rPr>
        <w:t>Informējam Jūs, ka Meliorācijas likuma grozījumi ir izsludināti un publicēti 27.10.2022. oficiālajā izdevumā “Latvijas Vēstnesis” Nr.209,  oficiālās publikācijas Nr.: 2022/209.3</w:t>
      </w:r>
    </w:p>
    <w:p w14:paraId="4C6E8574" w14:textId="77777777" w:rsidR="00465C0D" w:rsidRPr="00465C0D" w:rsidRDefault="00000000" w:rsidP="00465C0D">
      <w:pPr>
        <w:pStyle w:val="NoSpacing"/>
        <w:rPr>
          <w:szCs w:val="24"/>
          <w:lang w:val="lv-LV"/>
        </w:rPr>
      </w:pPr>
      <w:hyperlink r:id="rId7" w:history="1">
        <w:r w:rsidR="00E976DF" w:rsidRPr="00465C0D">
          <w:rPr>
            <w:rStyle w:val="Hyperlink"/>
            <w:szCs w:val="24"/>
            <w:lang w:val="lv-LV"/>
          </w:rPr>
          <w:t>https://www.vestnesis.lv/op/2022/209.3</w:t>
        </w:r>
      </w:hyperlink>
    </w:p>
    <w:p w14:paraId="4702954C" w14:textId="77777777" w:rsidR="00465C0D" w:rsidRDefault="00465C0D" w:rsidP="00465C0D">
      <w:pPr>
        <w:pStyle w:val="NoSpacing"/>
        <w:rPr>
          <w:szCs w:val="24"/>
          <w:lang w:val="lv-LV"/>
        </w:rPr>
      </w:pPr>
    </w:p>
    <w:p w14:paraId="49265C80" w14:textId="77777777" w:rsidR="00465C0D" w:rsidRDefault="00465C0D" w:rsidP="00465C0D">
      <w:pPr>
        <w:pStyle w:val="NoSpacing"/>
        <w:rPr>
          <w:szCs w:val="24"/>
          <w:lang w:val="lv-LV"/>
        </w:rPr>
      </w:pPr>
    </w:p>
    <w:p w14:paraId="5FB776CF" w14:textId="77777777" w:rsidR="00465C0D" w:rsidRDefault="00465C0D" w:rsidP="00465C0D">
      <w:pPr>
        <w:pStyle w:val="NoSpacing"/>
        <w:rPr>
          <w:szCs w:val="24"/>
          <w:lang w:val="lv-LV"/>
        </w:rPr>
      </w:pPr>
    </w:p>
    <w:p w14:paraId="1C55DB03" w14:textId="77777777" w:rsidR="00465C0D" w:rsidRPr="00465C0D" w:rsidRDefault="00465C0D" w:rsidP="00465C0D">
      <w:pPr>
        <w:pStyle w:val="NoSpacing"/>
        <w:rPr>
          <w:szCs w:val="24"/>
          <w:lang w:val="lv-LV"/>
        </w:rPr>
      </w:pPr>
    </w:p>
    <w:p w14:paraId="24BFC694" w14:textId="77777777" w:rsidR="00465C0D" w:rsidRPr="00465C0D" w:rsidRDefault="00E976DF" w:rsidP="00465C0D">
      <w:pPr>
        <w:pStyle w:val="NoSpacing"/>
        <w:rPr>
          <w:szCs w:val="24"/>
          <w:lang w:val="lv-LV"/>
        </w:rPr>
      </w:pPr>
      <w:r w:rsidRPr="00465C0D">
        <w:rPr>
          <w:szCs w:val="24"/>
          <w:lang w:val="lv-LV"/>
        </w:rPr>
        <w:t>Meža departamenta direktors</w:t>
      </w:r>
      <w:r w:rsidRPr="00465C0D">
        <w:rPr>
          <w:szCs w:val="24"/>
          <w:lang w:val="lv-LV"/>
        </w:rPr>
        <w:tab/>
      </w:r>
      <w:r w:rsidRPr="00465C0D">
        <w:rPr>
          <w:szCs w:val="24"/>
          <w:lang w:val="lv-LV"/>
        </w:rPr>
        <w:tab/>
      </w:r>
      <w:r w:rsidRPr="00465C0D">
        <w:rPr>
          <w:szCs w:val="24"/>
          <w:lang w:val="lv-LV"/>
        </w:rPr>
        <w:tab/>
      </w:r>
      <w:r w:rsidRPr="00465C0D">
        <w:rPr>
          <w:szCs w:val="24"/>
          <w:lang w:val="lv-LV"/>
        </w:rPr>
        <w:tab/>
      </w:r>
      <w:r w:rsidRPr="00465C0D">
        <w:rPr>
          <w:szCs w:val="24"/>
          <w:lang w:val="lv-LV"/>
        </w:rPr>
        <w:tab/>
      </w:r>
      <w:r w:rsidRPr="00465C0D">
        <w:rPr>
          <w:szCs w:val="24"/>
          <w:lang w:val="lv-LV"/>
        </w:rPr>
        <w:tab/>
      </w:r>
      <w:r w:rsidR="00AA55F8">
        <w:rPr>
          <w:szCs w:val="24"/>
          <w:lang w:val="lv-LV"/>
        </w:rPr>
        <w:tab/>
      </w:r>
      <w:r w:rsidRPr="00465C0D">
        <w:rPr>
          <w:szCs w:val="24"/>
          <w:lang w:val="lv-LV"/>
        </w:rPr>
        <w:tab/>
      </w:r>
      <w:proofErr w:type="spellStart"/>
      <w:r w:rsidRPr="00465C0D">
        <w:rPr>
          <w:szCs w:val="24"/>
          <w:lang w:val="lv-LV"/>
        </w:rPr>
        <w:t>A.Ozols</w:t>
      </w:r>
      <w:proofErr w:type="spellEnd"/>
    </w:p>
    <w:p w14:paraId="6C31CFFD" w14:textId="77777777" w:rsidR="00465C0D" w:rsidRPr="00465C0D" w:rsidRDefault="00465C0D" w:rsidP="00465C0D">
      <w:pPr>
        <w:rPr>
          <w:szCs w:val="24"/>
          <w:lang w:val="lv-LV"/>
        </w:rPr>
      </w:pPr>
    </w:p>
    <w:p w14:paraId="4E050DE7" w14:textId="77777777" w:rsidR="00465C0D" w:rsidRPr="00465C0D" w:rsidRDefault="00465C0D" w:rsidP="00465C0D">
      <w:pPr>
        <w:rPr>
          <w:szCs w:val="24"/>
          <w:lang w:val="lv-LV"/>
        </w:rPr>
      </w:pPr>
    </w:p>
    <w:p w14:paraId="32F32D76" w14:textId="77777777" w:rsidR="00AF43DB" w:rsidRPr="00465C0D" w:rsidRDefault="00AF43DB" w:rsidP="00465C0D">
      <w:pPr>
        <w:ind w:firstLine="0"/>
        <w:rPr>
          <w:lang w:val="lv-LV"/>
        </w:rPr>
      </w:pPr>
    </w:p>
    <w:p w14:paraId="3623D9D7" w14:textId="77777777" w:rsidR="00AF43DB" w:rsidRPr="00465C0D" w:rsidRDefault="00AF43DB" w:rsidP="00AF43DB">
      <w:pPr>
        <w:rPr>
          <w:lang w:val="lv-LV"/>
        </w:rPr>
      </w:pPr>
    </w:p>
    <w:p w14:paraId="1868DC02" w14:textId="77777777" w:rsidR="00AF43DB" w:rsidRPr="00465C0D" w:rsidRDefault="00AF43DB" w:rsidP="00AF43DB">
      <w:pPr>
        <w:rPr>
          <w:lang w:val="lv-LV"/>
        </w:rPr>
      </w:pPr>
    </w:p>
    <w:p w14:paraId="09CCF679" w14:textId="77777777" w:rsidR="00AF43DB" w:rsidRPr="00465C0D" w:rsidRDefault="00AF43DB" w:rsidP="00AF43DB">
      <w:pPr>
        <w:rPr>
          <w:lang w:val="lv-LV"/>
        </w:rPr>
      </w:pPr>
    </w:p>
    <w:p w14:paraId="171826D9" w14:textId="77777777" w:rsidR="00AF43DB" w:rsidRPr="00465C0D" w:rsidRDefault="00AF43DB" w:rsidP="00AF43DB">
      <w:pPr>
        <w:rPr>
          <w:lang w:val="lv-LV"/>
        </w:rPr>
      </w:pPr>
    </w:p>
    <w:p w14:paraId="149710BA" w14:textId="77777777" w:rsidR="00AF43DB" w:rsidRPr="00465C0D" w:rsidRDefault="00AF43DB" w:rsidP="00AF43DB">
      <w:pPr>
        <w:rPr>
          <w:lang w:val="lv-LV"/>
        </w:rPr>
      </w:pPr>
    </w:p>
    <w:p w14:paraId="02696466" w14:textId="77777777" w:rsidR="00AF43DB" w:rsidRPr="00465C0D" w:rsidRDefault="00AF43DB" w:rsidP="00AF43DB">
      <w:pPr>
        <w:rPr>
          <w:lang w:val="lv-LV"/>
        </w:rPr>
      </w:pPr>
    </w:p>
    <w:p w14:paraId="203D52B5" w14:textId="77777777" w:rsidR="00AF43DB" w:rsidRPr="00465C0D" w:rsidRDefault="00AF43DB" w:rsidP="00AF43DB">
      <w:pPr>
        <w:rPr>
          <w:lang w:val="lv-LV"/>
        </w:rPr>
      </w:pPr>
    </w:p>
    <w:p w14:paraId="6B9A9F54" w14:textId="77777777" w:rsidR="00AF43DB" w:rsidRPr="00465C0D" w:rsidRDefault="00AF43DB" w:rsidP="00AF43DB">
      <w:pPr>
        <w:rPr>
          <w:lang w:val="lv-LV"/>
        </w:rPr>
      </w:pPr>
    </w:p>
    <w:p w14:paraId="25DF457D" w14:textId="77777777" w:rsidR="00AF43DB" w:rsidRPr="00465C0D" w:rsidRDefault="00AF43DB" w:rsidP="00465C0D">
      <w:pPr>
        <w:ind w:firstLine="0"/>
        <w:rPr>
          <w:lang w:val="lv-LV"/>
        </w:rPr>
      </w:pPr>
    </w:p>
    <w:p w14:paraId="01799C83" w14:textId="77777777" w:rsidR="00AF43DB" w:rsidRPr="00465C0D" w:rsidRDefault="00AF43DB" w:rsidP="00AF43DB">
      <w:pPr>
        <w:rPr>
          <w:lang w:val="lv-LV"/>
        </w:rPr>
      </w:pPr>
    </w:p>
    <w:p w14:paraId="317607BC" w14:textId="77777777" w:rsidR="00AF43DB" w:rsidRPr="00465C0D" w:rsidRDefault="00AF43DB" w:rsidP="00AF43DB">
      <w:pPr>
        <w:rPr>
          <w:lang w:val="lv-LV"/>
        </w:rPr>
      </w:pPr>
    </w:p>
    <w:p w14:paraId="18138F57" w14:textId="77777777" w:rsidR="00AF43DB" w:rsidRPr="00465C0D" w:rsidRDefault="00AF43DB" w:rsidP="00AF43DB">
      <w:pPr>
        <w:rPr>
          <w:lang w:val="lv-LV"/>
        </w:rPr>
      </w:pPr>
    </w:p>
    <w:p w14:paraId="416ECBFE" w14:textId="77777777" w:rsidR="00AF43DB" w:rsidRPr="00465C0D" w:rsidRDefault="00AF43DB" w:rsidP="00AF43DB">
      <w:pPr>
        <w:rPr>
          <w:lang w:val="lv-LV"/>
        </w:rPr>
      </w:pPr>
    </w:p>
    <w:p w14:paraId="5294A720" w14:textId="77777777" w:rsidR="000353A4" w:rsidRPr="00465C0D" w:rsidRDefault="000353A4" w:rsidP="00AF43DB">
      <w:pPr>
        <w:rPr>
          <w:lang w:val="lv-LV"/>
        </w:rPr>
      </w:pPr>
    </w:p>
    <w:p w14:paraId="2BDC62AC" w14:textId="77777777" w:rsidR="00AF43DB" w:rsidRPr="00465C0D" w:rsidRDefault="00AF43DB" w:rsidP="00AF43DB">
      <w:pPr>
        <w:rPr>
          <w:lang w:val="lv-LV"/>
        </w:rPr>
      </w:pPr>
    </w:p>
    <w:p w14:paraId="40C2377A" w14:textId="77777777" w:rsidR="00AF43DB" w:rsidRPr="00465C0D" w:rsidRDefault="00E976DF" w:rsidP="00465C0D">
      <w:pPr>
        <w:ind w:firstLine="0"/>
        <w:rPr>
          <w:sz w:val="20"/>
          <w:szCs w:val="20"/>
          <w:lang w:val="lv-LV"/>
        </w:rPr>
      </w:pPr>
      <w:proofErr w:type="spellStart"/>
      <w:r w:rsidRPr="00465C0D">
        <w:rPr>
          <w:sz w:val="20"/>
          <w:szCs w:val="20"/>
          <w:lang w:val="lv-LV"/>
        </w:rPr>
        <w:t>G.Melkins</w:t>
      </w:r>
      <w:proofErr w:type="spellEnd"/>
    </w:p>
    <w:p w14:paraId="75D718BC" w14:textId="77777777" w:rsidR="00465C0D" w:rsidRPr="00465C0D" w:rsidRDefault="00E976DF" w:rsidP="00465C0D">
      <w:pPr>
        <w:ind w:firstLine="0"/>
        <w:rPr>
          <w:sz w:val="20"/>
          <w:szCs w:val="20"/>
          <w:lang w:val="lv-LV"/>
        </w:rPr>
      </w:pPr>
      <w:r w:rsidRPr="00465C0D">
        <w:rPr>
          <w:sz w:val="20"/>
          <w:szCs w:val="20"/>
          <w:lang w:val="lv-LV"/>
        </w:rPr>
        <w:t>Gints.Melkins@zm.gov.lv</w:t>
      </w:r>
    </w:p>
    <w:p w14:paraId="57DCE732" w14:textId="77777777" w:rsidR="00AF43DB" w:rsidRPr="00465C0D" w:rsidRDefault="00E976DF" w:rsidP="000353A4">
      <w:pPr>
        <w:framePr w:w="7621" w:h="631" w:hRule="exact" w:hSpace="180" w:wrap="around" w:vAnchor="text" w:hAnchor="page" w:x="2176" w:y="483"/>
        <w:tabs>
          <w:tab w:val="left" w:pos="8789"/>
        </w:tabs>
        <w:ind w:left="142" w:right="579"/>
        <w:jc w:val="center"/>
        <w:rPr>
          <w:sz w:val="20"/>
          <w:lang w:val="lv-LV"/>
        </w:rPr>
      </w:pPr>
      <w:r w:rsidRPr="00465C0D">
        <w:rPr>
          <w:sz w:val="20"/>
          <w:lang w:val="lv-LV"/>
        </w:rPr>
        <w:t>ŠIS DOKUMENTS IR PARAKSTĪTS AR DROŠU</w:t>
      </w:r>
    </w:p>
    <w:p w14:paraId="509E4F97" w14:textId="77777777" w:rsidR="00AF43DB" w:rsidRPr="00465C0D" w:rsidRDefault="00E976DF" w:rsidP="000353A4">
      <w:pPr>
        <w:framePr w:w="7621" w:h="631" w:hRule="exact" w:hSpace="180" w:wrap="around" w:vAnchor="text" w:hAnchor="page" w:x="2176" w:y="483"/>
        <w:tabs>
          <w:tab w:val="left" w:pos="8789"/>
        </w:tabs>
        <w:ind w:left="142" w:right="579"/>
        <w:jc w:val="center"/>
        <w:rPr>
          <w:sz w:val="20"/>
          <w:lang w:val="lv-LV"/>
        </w:rPr>
      </w:pPr>
      <w:r w:rsidRPr="00465C0D">
        <w:rPr>
          <w:sz w:val="20"/>
          <w:lang w:val="lv-LV"/>
        </w:rPr>
        <w:t>ELEKTRONISKO PARAKSTU UN SATUR LAIKA ZĪMOGU</w:t>
      </w:r>
    </w:p>
    <w:p w14:paraId="6460394E" w14:textId="77777777" w:rsidR="00E5653E" w:rsidRPr="00465C0D" w:rsidRDefault="00E5653E" w:rsidP="00465C0D">
      <w:pPr>
        <w:tabs>
          <w:tab w:val="left" w:pos="2910"/>
        </w:tabs>
        <w:ind w:firstLine="0"/>
        <w:rPr>
          <w:lang w:val="lv-LV"/>
        </w:rPr>
      </w:pPr>
    </w:p>
    <w:sectPr w:rsidR="00E5653E" w:rsidRPr="00465C0D" w:rsidSect="008C66E9">
      <w:headerReference w:type="first" r:id="rId8"/>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F46B" w14:textId="77777777" w:rsidR="00465366" w:rsidRDefault="00465366">
      <w:r>
        <w:separator/>
      </w:r>
    </w:p>
  </w:endnote>
  <w:endnote w:type="continuationSeparator" w:id="0">
    <w:p w14:paraId="0D53D55E" w14:textId="77777777" w:rsidR="00465366" w:rsidRDefault="004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F5B2" w14:textId="77777777" w:rsidR="00465366" w:rsidRDefault="00465366">
      <w:r>
        <w:separator/>
      </w:r>
    </w:p>
  </w:footnote>
  <w:footnote w:type="continuationSeparator" w:id="0">
    <w:p w14:paraId="6239E8F1" w14:textId="77777777" w:rsidR="00465366" w:rsidRDefault="0046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B4DB" w14:textId="77777777" w:rsidR="008C66E9" w:rsidRPr="00FF0532" w:rsidRDefault="00E976DF" w:rsidP="00483A7F">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14:anchorId="55AC561B" wp14:editId="4F701CFA">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14:anchorId="1B14947D" wp14:editId="7F9147F0">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7AE1" w14:textId="77777777" w:rsidR="008C66E9" w:rsidRPr="00FF0532" w:rsidRDefault="00E976DF"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B14947D"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77A47AE1" w14:textId="77777777" w:rsidR="008C66E9" w:rsidRPr="00FF0532" w:rsidRDefault="00E976DF"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v:textbox>
              <w10:wrap anchorx="page" anchory="page"/>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14:anchorId="0381BBCD" wp14:editId="230E5375">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E32F7"/>
    <w:multiLevelType w:val="hybridMultilevel"/>
    <w:tmpl w:val="EEAA77C8"/>
    <w:lvl w:ilvl="0" w:tplc="3BCEE01E">
      <w:start w:val="1"/>
      <w:numFmt w:val="decimal"/>
      <w:lvlText w:val="%1)"/>
      <w:lvlJc w:val="left"/>
      <w:pPr>
        <w:ind w:left="720" w:hanging="360"/>
      </w:pPr>
      <w:rPr>
        <w:rFonts w:hint="default"/>
      </w:rPr>
    </w:lvl>
    <w:lvl w:ilvl="1" w:tplc="9B6056EC" w:tentative="1">
      <w:start w:val="1"/>
      <w:numFmt w:val="lowerLetter"/>
      <w:lvlText w:val="%2."/>
      <w:lvlJc w:val="left"/>
      <w:pPr>
        <w:ind w:left="1440" w:hanging="360"/>
      </w:pPr>
    </w:lvl>
    <w:lvl w:ilvl="2" w:tplc="1E64412E" w:tentative="1">
      <w:start w:val="1"/>
      <w:numFmt w:val="lowerRoman"/>
      <w:lvlText w:val="%3."/>
      <w:lvlJc w:val="right"/>
      <w:pPr>
        <w:ind w:left="2160" w:hanging="180"/>
      </w:pPr>
    </w:lvl>
    <w:lvl w:ilvl="3" w:tplc="F4A4F050" w:tentative="1">
      <w:start w:val="1"/>
      <w:numFmt w:val="decimal"/>
      <w:lvlText w:val="%4."/>
      <w:lvlJc w:val="left"/>
      <w:pPr>
        <w:ind w:left="2880" w:hanging="360"/>
      </w:pPr>
    </w:lvl>
    <w:lvl w:ilvl="4" w:tplc="AC027A16" w:tentative="1">
      <w:start w:val="1"/>
      <w:numFmt w:val="lowerLetter"/>
      <w:lvlText w:val="%5."/>
      <w:lvlJc w:val="left"/>
      <w:pPr>
        <w:ind w:left="3600" w:hanging="360"/>
      </w:pPr>
    </w:lvl>
    <w:lvl w:ilvl="5" w:tplc="2D1607CE" w:tentative="1">
      <w:start w:val="1"/>
      <w:numFmt w:val="lowerRoman"/>
      <w:lvlText w:val="%6."/>
      <w:lvlJc w:val="right"/>
      <w:pPr>
        <w:ind w:left="4320" w:hanging="180"/>
      </w:pPr>
    </w:lvl>
    <w:lvl w:ilvl="6" w:tplc="C01C632E" w:tentative="1">
      <w:start w:val="1"/>
      <w:numFmt w:val="decimal"/>
      <w:lvlText w:val="%7."/>
      <w:lvlJc w:val="left"/>
      <w:pPr>
        <w:ind w:left="5040" w:hanging="360"/>
      </w:pPr>
    </w:lvl>
    <w:lvl w:ilvl="7" w:tplc="5F98E886" w:tentative="1">
      <w:start w:val="1"/>
      <w:numFmt w:val="lowerLetter"/>
      <w:lvlText w:val="%8."/>
      <w:lvlJc w:val="left"/>
      <w:pPr>
        <w:ind w:left="5760" w:hanging="360"/>
      </w:pPr>
    </w:lvl>
    <w:lvl w:ilvl="8" w:tplc="FCFA9104" w:tentative="1">
      <w:start w:val="1"/>
      <w:numFmt w:val="lowerRoman"/>
      <w:lvlText w:val="%9."/>
      <w:lvlJc w:val="right"/>
      <w:pPr>
        <w:ind w:left="6480" w:hanging="180"/>
      </w:pPr>
    </w:lvl>
  </w:abstractNum>
  <w:num w:numId="1" w16cid:durableId="738944423">
    <w:abstractNumId w:val="10"/>
  </w:num>
  <w:num w:numId="2" w16cid:durableId="1053968354">
    <w:abstractNumId w:val="8"/>
  </w:num>
  <w:num w:numId="3" w16cid:durableId="1850024919">
    <w:abstractNumId w:val="7"/>
  </w:num>
  <w:num w:numId="4" w16cid:durableId="1560484064">
    <w:abstractNumId w:val="6"/>
  </w:num>
  <w:num w:numId="5" w16cid:durableId="1647317333">
    <w:abstractNumId w:val="5"/>
  </w:num>
  <w:num w:numId="6" w16cid:durableId="15349387">
    <w:abstractNumId w:val="9"/>
  </w:num>
  <w:num w:numId="7" w16cid:durableId="1519781510">
    <w:abstractNumId w:val="4"/>
  </w:num>
  <w:num w:numId="8" w16cid:durableId="454638589">
    <w:abstractNumId w:val="3"/>
  </w:num>
  <w:num w:numId="9" w16cid:durableId="840119725">
    <w:abstractNumId w:val="2"/>
  </w:num>
  <w:num w:numId="10" w16cid:durableId="1528518156">
    <w:abstractNumId w:val="1"/>
  </w:num>
  <w:num w:numId="11" w16cid:durableId="585303561">
    <w:abstractNumId w:val="0"/>
  </w:num>
  <w:num w:numId="12" w16cid:durableId="1125739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6A"/>
    <w:rsid w:val="000353A4"/>
    <w:rsid w:val="00090D94"/>
    <w:rsid w:val="000E4571"/>
    <w:rsid w:val="0014733C"/>
    <w:rsid w:val="00293FD7"/>
    <w:rsid w:val="002A393E"/>
    <w:rsid w:val="00337F53"/>
    <w:rsid w:val="00356144"/>
    <w:rsid w:val="00465366"/>
    <w:rsid w:val="00465C0D"/>
    <w:rsid w:val="00483A7F"/>
    <w:rsid w:val="004E0A81"/>
    <w:rsid w:val="00580BB0"/>
    <w:rsid w:val="005C7AB7"/>
    <w:rsid w:val="006669A7"/>
    <w:rsid w:val="007869BB"/>
    <w:rsid w:val="00890D7B"/>
    <w:rsid w:val="008C66E9"/>
    <w:rsid w:val="00906772"/>
    <w:rsid w:val="00931E82"/>
    <w:rsid w:val="009E0F07"/>
    <w:rsid w:val="00A348EF"/>
    <w:rsid w:val="00A64F60"/>
    <w:rsid w:val="00AA55F8"/>
    <w:rsid w:val="00AC5C20"/>
    <w:rsid w:val="00AF43DB"/>
    <w:rsid w:val="00C93F27"/>
    <w:rsid w:val="00CC73EE"/>
    <w:rsid w:val="00CF57CD"/>
    <w:rsid w:val="00E5653E"/>
    <w:rsid w:val="00E976DF"/>
    <w:rsid w:val="00F50A6A"/>
    <w:rsid w:val="00FF053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317"/>
  <w15:docId w15:val="{372215E3-905E-49B9-AF97-A94A55EA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stnesis.lv/op/2022/2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Romualds Dovgjallo Romualds Dovgjallo</cp:lastModifiedBy>
  <cp:revision>2</cp:revision>
  <dcterms:created xsi:type="dcterms:W3CDTF">2022-11-10T09:49:00Z</dcterms:created>
  <dcterms:modified xsi:type="dcterms:W3CDTF">2022-11-10T09:49:00Z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